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47D739ED" w:rsidR="00830CAE" w:rsidRPr="00B279F6" w:rsidRDefault="00830CAE" w:rsidP="00830CAE">
      <w:pPr>
        <w:spacing w:after="0" w:line="240" w:lineRule="auto"/>
        <w:rPr>
          <w:rFonts w:ascii="Times New Roman" w:hAnsi="Times New Roman"/>
          <w:b/>
          <w:sz w:val="24"/>
          <w:szCs w:val="24"/>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B279F6">
        <w:rPr>
          <w:rFonts w:ascii="Times New Roman" w:hAnsi="Times New Roman"/>
          <w:b/>
          <w:sz w:val="24"/>
          <w:szCs w:val="24"/>
        </w:rPr>
        <w:t>25.02.2026.</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16F4F56D" w:rsidR="00830CAE" w:rsidRDefault="004A50D5"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RS"/>
        </w:rPr>
        <w:t>ОСМИ</w:t>
      </w:r>
      <w:r w:rsidR="003B5CDE">
        <w:rPr>
          <w:rFonts w:ascii="Times New Roman" w:hAnsi="Times New Roman"/>
          <w:b/>
          <w:sz w:val="24"/>
          <w:szCs w:val="24"/>
          <w:lang w:val="sr-Cyrl-CS"/>
        </w:rPr>
        <w:t xml:space="preserve">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26380FE0" w:rsidR="00830CAE" w:rsidRDefault="00006E6E" w:rsidP="00830CAE">
      <w:pPr>
        <w:spacing w:after="0" w:line="240" w:lineRule="auto"/>
        <w:ind w:firstLine="450"/>
        <w:jc w:val="both"/>
        <w:rPr>
          <w:rFonts w:ascii="Times New Roman" w:hAnsi="Times New Roman"/>
          <w:sz w:val="24"/>
          <w:szCs w:val="24"/>
          <w:lang w:val="sr-Cyrl-CS"/>
        </w:rPr>
      </w:pPr>
      <w:r>
        <w:rPr>
          <w:rFonts w:ascii="Times New Roman" w:hAnsi="Times New Roman"/>
          <w:b/>
          <w:bCs/>
          <w:sz w:val="24"/>
          <w:szCs w:val="24"/>
        </w:rPr>
        <w:t xml:space="preserve">2285/9, 2285/10, 2285/11, 2285/12, 2285/13, 2285/14, 2285/15, 2285/16, 2285/17, 2285/18, 2285/19, 2285/20, 2285/21, 2285/22, 2285/23, 2285/24, 2285/35, </w:t>
      </w:r>
      <w:r>
        <w:rPr>
          <w:rFonts w:ascii="Times New Roman" w:hAnsi="Times New Roman"/>
          <w:b/>
          <w:bCs/>
          <w:sz w:val="24"/>
          <w:szCs w:val="24"/>
          <w:lang w:val="sr-Cyrl-CS"/>
        </w:rPr>
        <w:t>2285/53, 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2285/61, 2285/62, </w:t>
      </w:r>
      <w:r w:rsidRPr="00CA2FCF">
        <w:rPr>
          <w:rFonts w:ascii="Times New Roman" w:hAnsi="Times New Roman"/>
          <w:b/>
          <w:bCs/>
          <w:sz w:val="24"/>
          <w:szCs w:val="24"/>
        </w:rPr>
        <w:t>2285/71, 2285/72, 2285/73, 2285/74, 2285/75, 2285/76, 2285/77, 2285/78, 2285/79, 2285/80, 2285/81, 2285/82, 2285/85,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w:t>
      </w:r>
      <w:r>
        <w:rPr>
          <w:rFonts w:ascii="Times New Roman" w:hAnsi="Times New Roman"/>
          <w:color w:val="000000"/>
          <w:sz w:val="24"/>
          <w:szCs w:val="24"/>
          <w:lang w:val="sr-Cyrl-RS"/>
        </w:rPr>
        <w:lastRenderedPageBreak/>
        <w:t>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lastRenderedPageBreak/>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lastRenderedPageBreak/>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6DE9601B"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w:t>
      </w:r>
      <w:r>
        <w:rPr>
          <w:rFonts w:ascii="Times New Roman" w:hAnsi="Times New Roman"/>
          <w:sz w:val="24"/>
          <w:szCs w:val="24"/>
          <w:lang w:val="sr-Cyrl-RS"/>
        </w:rPr>
        <w:t xml:space="preserve">, површине </w:t>
      </w:r>
      <w:r>
        <w:rPr>
          <w:rFonts w:ascii="Times New Roman" w:hAnsi="Times New Roman"/>
          <w:sz w:val="24"/>
          <w:szCs w:val="24"/>
        </w:rPr>
        <w:t>449</w:t>
      </w:r>
      <w:r w:rsidRPr="00BD01A5">
        <w:rPr>
          <w:rFonts w:ascii="Times New Roman" w:hAnsi="Times New Roman"/>
          <w:sz w:val="24"/>
          <w:szCs w:val="24"/>
        </w:rPr>
        <w:t xml:space="preserve"> </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Pr="00BD01A5">
        <w:rPr>
          <w:rFonts w:ascii="Times New Roman" w:hAnsi="Times New Roman"/>
          <w:sz w:val="24"/>
          <w:szCs w:val="24"/>
        </w:rPr>
        <w:t>1.</w:t>
      </w:r>
      <w:r>
        <w:rPr>
          <w:rFonts w:ascii="Times New Roman" w:hAnsi="Times New Roman"/>
          <w:sz w:val="24"/>
          <w:szCs w:val="24"/>
        </w:rPr>
        <w:t>310</w:t>
      </w:r>
      <w:r w:rsidRPr="00BD01A5">
        <w:rPr>
          <w:rFonts w:ascii="Times New Roman" w:hAnsi="Times New Roman"/>
          <w:sz w:val="24"/>
          <w:szCs w:val="24"/>
        </w:rPr>
        <w:t>.</w:t>
      </w:r>
      <w:r>
        <w:rPr>
          <w:rFonts w:ascii="Times New Roman" w:hAnsi="Times New Roman"/>
          <w:sz w:val="24"/>
          <w:szCs w:val="24"/>
        </w:rPr>
        <w:t>182</w:t>
      </w:r>
      <w:r w:rsidRPr="00BD01A5">
        <w:rPr>
          <w:rFonts w:ascii="Times New Roman" w:hAnsi="Times New Roman"/>
          <w:sz w:val="24"/>
          <w:szCs w:val="24"/>
        </w:rPr>
        <w:t>,00</w:t>
      </w:r>
      <w:r>
        <w:rPr>
          <w:rFonts w:ascii="Times New Roman" w:hAnsi="Times New Roman"/>
          <w:sz w:val="24"/>
          <w:szCs w:val="24"/>
          <w:lang w:val="sr-Cyrl-RS"/>
        </w:rPr>
        <w:t>динара;</w:t>
      </w:r>
    </w:p>
    <w:p w14:paraId="2D18DF5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10</w:t>
      </w:r>
      <w:r>
        <w:rPr>
          <w:rFonts w:ascii="Times New Roman" w:hAnsi="Times New Roman"/>
          <w:sz w:val="24"/>
          <w:szCs w:val="24"/>
          <w:lang w:val="sr-Cyrl-RS"/>
        </w:rPr>
        <w:t xml:space="preserve">, површине </w:t>
      </w:r>
      <w:r>
        <w:rPr>
          <w:rFonts w:ascii="Times New Roman" w:hAnsi="Times New Roman"/>
          <w:sz w:val="24"/>
          <w:szCs w:val="24"/>
        </w:rPr>
        <w:t>575m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sidRPr="00BD01A5">
        <w:rPr>
          <w:rFonts w:ascii="Times New Roman" w:hAnsi="Times New Roman"/>
          <w:sz w:val="24"/>
          <w:szCs w:val="24"/>
        </w:rPr>
        <w:t>1.</w:t>
      </w:r>
      <w:r>
        <w:rPr>
          <w:rFonts w:ascii="Times New Roman" w:hAnsi="Times New Roman"/>
          <w:sz w:val="24"/>
          <w:szCs w:val="24"/>
        </w:rPr>
        <w:t>677</w:t>
      </w:r>
      <w:r w:rsidRPr="00BD01A5">
        <w:rPr>
          <w:rFonts w:ascii="Times New Roman" w:hAnsi="Times New Roman"/>
          <w:sz w:val="24"/>
          <w:szCs w:val="24"/>
        </w:rPr>
        <w:t>.</w:t>
      </w:r>
      <w:r>
        <w:rPr>
          <w:rFonts w:ascii="Times New Roman" w:hAnsi="Times New Roman"/>
          <w:sz w:val="24"/>
          <w:szCs w:val="24"/>
        </w:rPr>
        <w:t>850</w:t>
      </w:r>
      <w:r w:rsidRPr="00BD01A5">
        <w:rPr>
          <w:rFonts w:ascii="Times New Roman" w:hAnsi="Times New Roman"/>
          <w:sz w:val="24"/>
          <w:szCs w:val="24"/>
        </w:rPr>
        <w:t>,00</w:t>
      </w:r>
      <w:r>
        <w:rPr>
          <w:rFonts w:ascii="Times New Roman" w:hAnsi="Times New Roman"/>
          <w:sz w:val="24"/>
          <w:szCs w:val="24"/>
          <w:lang w:val="sr-Cyrl-RS"/>
        </w:rPr>
        <w:t>динара;</w:t>
      </w:r>
    </w:p>
    <w:p w14:paraId="2E3D36C5"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11</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7D6AEA7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12</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09B1112D"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13</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8ECA544"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14,</w:t>
      </w:r>
      <w:r>
        <w:rPr>
          <w:rFonts w:ascii="Times New Roman" w:hAnsi="Times New Roman"/>
          <w:sz w:val="24"/>
          <w:szCs w:val="24"/>
          <w:lang w:val="sr-Cyrl-RS"/>
        </w:rPr>
        <w:t xml:space="preserve">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598D0B3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15</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2F39A24"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16</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66D1F2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17</w:t>
      </w:r>
      <w:r>
        <w:rPr>
          <w:rFonts w:ascii="Times New Roman" w:hAnsi="Times New Roman"/>
          <w:sz w:val="24"/>
          <w:szCs w:val="24"/>
          <w:lang w:val="sr-Cyrl-RS"/>
        </w:rPr>
        <w:t>,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435137B1"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18</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DD26C4D"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19</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C91882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20</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620691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21</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046CE1BE"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22</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01CDA96"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23</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DFA9EE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24</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2AF122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315772C0"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02DA05C6"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11C1E21"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2EBC770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F2E8035"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5F93AF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4557354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3DA3174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34C0EF56" w14:textId="77777777" w:rsidR="00006E6E" w:rsidRPr="00D300D6"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68AA8956"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716392F0"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408F435"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68D41D6"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64238B80"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lastRenderedPageBreak/>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2ABA8C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E75EC99"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D02866C"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B92BD"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C69044C"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3D6B4D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EE3B4A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0956440"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E33A3F9"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3E264E31"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5E92734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335C936D"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01909E6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2418CAA7"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6623333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F70ECC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5A38995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48603D0E"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2F132BB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0D81A97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424FB9E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079B0A04"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61DBF90B"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4EEE00A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1B9CB2F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58B219F"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2595B3D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B2037B5"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1E06125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69FA698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46B006D0"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6A022311"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F08244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lastRenderedPageBreak/>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16F65B8D"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3B03A5">
        <w:rPr>
          <w:rFonts w:ascii="Times New Roman" w:hAnsi="Times New Roman"/>
          <w:b/>
          <w:sz w:val="24"/>
          <w:szCs w:val="24"/>
        </w:rPr>
        <w:t>27.03.2026.</w:t>
      </w:r>
      <w:r>
        <w:rPr>
          <w:rFonts w:ascii="Times New Roman" w:hAnsi="Times New Roman"/>
          <w:b/>
          <w:sz w:val="24"/>
          <w:szCs w:val="24"/>
          <w:lang w:val="sr-Cyrl-CS"/>
        </w:rPr>
        <w:t xml:space="preserve">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w:t>
      </w:r>
      <w:r>
        <w:rPr>
          <w:rFonts w:ascii="Times New Roman" w:hAnsi="Times New Roman"/>
          <w:sz w:val="24"/>
          <w:szCs w:val="24"/>
          <w:lang w:val="sr-Cyrl-CS"/>
        </w:rPr>
        <w:lastRenderedPageBreak/>
        <w:t>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35269AF2" w:rsidR="00EE62F1" w:rsidRDefault="00EE62F1" w:rsidP="00EE62F1">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F00CB2">
        <w:rPr>
          <w:rFonts w:ascii="Times New Roman" w:hAnsi="Times New Roman"/>
          <w:b/>
          <w:sz w:val="24"/>
          <w:szCs w:val="24"/>
        </w:rPr>
        <w:t>27.03.2026.</w:t>
      </w:r>
      <w:r>
        <w:rPr>
          <w:rFonts w:ascii="Times New Roman" w:hAnsi="Times New Roman"/>
          <w:sz w:val="24"/>
          <w:szCs w:val="24"/>
          <w:lang w:val="sr-Cyrl-CS"/>
        </w:rPr>
        <w:t xml:space="preserve">године </w:t>
      </w:r>
      <w:bookmarkStart w:id="1" w:name="_Hlk198203307"/>
      <w:r>
        <w:rPr>
          <w:rFonts w:ascii="Times New Roman" w:hAnsi="Times New Roman"/>
          <w:sz w:val="24"/>
          <w:szCs w:val="24"/>
          <w:lang w:val="sr-Cyrl-CS"/>
        </w:rPr>
        <w:t>за парцеле: од 2285/</w:t>
      </w:r>
      <w:r>
        <w:rPr>
          <w:rFonts w:ascii="Times New Roman" w:hAnsi="Times New Roman"/>
          <w:sz w:val="24"/>
          <w:szCs w:val="24"/>
          <w:lang w:val="sr-Cyrl-RS"/>
        </w:rPr>
        <w:t>28</w:t>
      </w:r>
      <w:r>
        <w:rPr>
          <w:rFonts w:ascii="Times New Roman" w:hAnsi="Times New Roman"/>
          <w:sz w:val="24"/>
          <w:szCs w:val="24"/>
          <w:lang w:val="sr-Cyrl-CS"/>
        </w:rPr>
        <w:t xml:space="preserve"> до 2285/</w:t>
      </w:r>
      <w:r w:rsidR="000E3B13">
        <w:rPr>
          <w:rFonts w:ascii="Times New Roman" w:hAnsi="Times New Roman"/>
          <w:sz w:val="24"/>
          <w:szCs w:val="24"/>
          <w:lang w:val="sr-Cyrl-RS"/>
        </w:rPr>
        <w:t>5</w:t>
      </w:r>
      <w:r>
        <w:rPr>
          <w:rFonts w:ascii="Times New Roman" w:hAnsi="Times New Roman"/>
          <w:sz w:val="24"/>
          <w:szCs w:val="24"/>
          <w:lang w:val="sr-Cyrl-RS"/>
        </w:rPr>
        <w:t xml:space="preserve">8 </w:t>
      </w:r>
      <w:r>
        <w:rPr>
          <w:rFonts w:ascii="Times New Roman" w:hAnsi="Times New Roman"/>
          <w:sz w:val="24"/>
          <w:szCs w:val="24"/>
          <w:lang w:val="sr-Cyrl-CS"/>
        </w:rPr>
        <w:t xml:space="preserve">у </w:t>
      </w:r>
      <w:r>
        <w:rPr>
          <w:rFonts w:ascii="Times New Roman" w:hAnsi="Times New Roman"/>
          <w:b/>
          <w:sz w:val="24"/>
          <w:szCs w:val="24"/>
          <w:lang w:val="sr-Cyrl-CS"/>
        </w:rPr>
        <w:t>1</w:t>
      </w:r>
      <w:r>
        <w:rPr>
          <w:rFonts w:ascii="Times New Roman" w:hAnsi="Times New Roman"/>
          <w:b/>
          <w:sz w:val="24"/>
          <w:szCs w:val="24"/>
        </w:rPr>
        <w:t>1</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End w:id="1"/>
      <w:r>
        <w:rPr>
          <w:rFonts w:ascii="Times New Roman" w:hAnsi="Times New Roman"/>
          <w:sz w:val="24"/>
          <w:szCs w:val="24"/>
          <w:lang w:val="sr-Cyrl-CS"/>
        </w:rPr>
        <w:t xml:space="preserve">, за парцеле: </w:t>
      </w:r>
      <w:r>
        <w:rPr>
          <w:rFonts w:ascii="Times New Roman" w:hAnsi="Times New Roman"/>
          <w:sz w:val="24"/>
          <w:szCs w:val="24"/>
          <w:lang w:val="sr-Cyrl-RS"/>
        </w:rPr>
        <w:t>од 2285/5</w:t>
      </w:r>
      <w:r w:rsidR="000E3B13">
        <w:rPr>
          <w:rFonts w:ascii="Times New Roman" w:hAnsi="Times New Roman"/>
          <w:sz w:val="24"/>
          <w:szCs w:val="24"/>
          <w:lang w:val="sr-Cyrl-RS"/>
        </w:rPr>
        <w:t>9</w:t>
      </w:r>
      <w:r>
        <w:rPr>
          <w:rFonts w:ascii="Times New Roman" w:hAnsi="Times New Roman"/>
          <w:sz w:val="24"/>
          <w:szCs w:val="24"/>
          <w:lang w:val="sr-Cyrl-RS"/>
        </w:rPr>
        <w:t xml:space="preserve"> до 2285/</w:t>
      </w:r>
      <w:r w:rsidR="000E3B13">
        <w:rPr>
          <w:rFonts w:ascii="Times New Roman" w:hAnsi="Times New Roman"/>
          <w:sz w:val="24"/>
          <w:szCs w:val="24"/>
          <w:lang w:val="sr-Cyrl-RS"/>
        </w:rPr>
        <w:t>79</w:t>
      </w:r>
      <w:r>
        <w:rPr>
          <w:rFonts w:ascii="Times New Roman" w:hAnsi="Times New Roman"/>
          <w:sz w:val="24"/>
          <w:szCs w:val="24"/>
          <w:lang w:val="sr-Cyrl-CS"/>
        </w:rPr>
        <w:t xml:space="preserve"> у </w:t>
      </w:r>
      <w:r>
        <w:rPr>
          <w:rFonts w:ascii="Times New Roman" w:hAnsi="Times New Roman"/>
          <w:b/>
          <w:sz w:val="24"/>
          <w:szCs w:val="24"/>
          <w:lang w:val="sr-Cyrl-CS"/>
        </w:rPr>
        <w:t>1</w:t>
      </w:r>
      <w:r w:rsidR="000E3B13">
        <w:rPr>
          <w:rFonts w:ascii="Times New Roman" w:hAnsi="Times New Roman"/>
          <w:b/>
          <w:sz w:val="24"/>
          <w:szCs w:val="24"/>
          <w:lang w:val="sr-Cyrl-RS"/>
        </w:rPr>
        <w:t>3</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Start w:id="2" w:name="_Hlk198203629"/>
      <w:r>
        <w:rPr>
          <w:rFonts w:ascii="Times New Roman" w:hAnsi="Times New Roman"/>
          <w:sz w:val="24"/>
          <w:szCs w:val="24"/>
          <w:lang w:val="sr-Cyrl-RS"/>
        </w:rPr>
        <w:t>,</w:t>
      </w:r>
      <w:r>
        <w:rPr>
          <w:rFonts w:ascii="Times New Roman" w:hAnsi="Times New Roman"/>
          <w:sz w:val="24"/>
          <w:szCs w:val="24"/>
          <w:lang w:val="sr-Cyrl-CS"/>
        </w:rPr>
        <w:t xml:space="preserve"> за парцеле: од 2285/</w:t>
      </w:r>
      <w:r w:rsidR="000E3B13">
        <w:rPr>
          <w:rFonts w:ascii="Times New Roman" w:hAnsi="Times New Roman"/>
          <w:sz w:val="24"/>
          <w:szCs w:val="24"/>
          <w:lang w:val="sr-Cyrl-RS"/>
        </w:rPr>
        <w:t>80</w:t>
      </w:r>
      <w:r>
        <w:rPr>
          <w:rFonts w:ascii="Times New Roman" w:hAnsi="Times New Roman"/>
          <w:sz w:val="24"/>
          <w:szCs w:val="24"/>
          <w:lang w:val="sr-Cyrl-CS"/>
        </w:rPr>
        <w:t xml:space="preserve"> до 2285/</w:t>
      </w:r>
      <w:r w:rsidR="000E3B13">
        <w:rPr>
          <w:rFonts w:ascii="Times New Roman" w:hAnsi="Times New Roman"/>
          <w:sz w:val="24"/>
          <w:szCs w:val="24"/>
          <w:lang w:val="sr-Cyrl-RS"/>
        </w:rPr>
        <w:t>99</w:t>
      </w:r>
      <w:r>
        <w:rPr>
          <w:rFonts w:ascii="Times New Roman" w:hAnsi="Times New Roman"/>
          <w:sz w:val="24"/>
          <w:szCs w:val="24"/>
          <w:lang w:val="sr-Cyrl-RS"/>
        </w:rPr>
        <w:t xml:space="preserve"> </w:t>
      </w:r>
      <w:r>
        <w:rPr>
          <w:rFonts w:ascii="Times New Roman" w:hAnsi="Times New Roman"/>
          <w:sz w:val="24"/>
          <w:szCs w:val="24"/>
          <w:lang w:val="sr-Cyrl-CS"/>
        </w:rPr>
        <w:t xml:space="preserve">у </w:t>
      </w:r>
      <w:r>
        <w:rPr>
          <w:rFonts w:ascii="Times New Roman" w:hAnsi="Times New Roman"/>
          <w:b/>
          <w:sz w:val="24"/>
          <w:szCs w:val="24"/>
          <w:lang w:val="sr-Cyrl-CS"/>
        </w:rPr>
        <w:t>1</w:t>
      </w:r>
      <w:r w:rsidR="000E3B13">
        <w:rPr>
          <w:rFonts w:ascii="Times New Roman" w:hAnsi="Times New Roman"/>
          <w:b/>
          <w:sz w:val="24"/>
          <w:szCs w:val="24"/>
          <w:lang w:val="sr-Cyrl-CS"/>
        </w:rPr>
        <w:t>4</w:t>
      </w:r>
      <w:r>
        <w:rPr>
          <w:rFonts w:ascii="Times New Roman" w:hAnsi="Times New Roman"/>
          <w:b/>
          <w:sz w:val="24"/>
          <w:szCs w:val="24"/>
          <w:lang w:val="sr-Cyrl-CS"/>
        </w:rPr>
        <w:t>:00</w:t>
      </w:r>
      <w:r>
        <w:rPr>
          <w:rFonts w:ascii="Times New Roman" w:hAnsi="Times New Roman"/>
          <w:sz w:val="24"/>
          <w:szCs w:val="24"/>
          <w:lang w:val="sr-Cyrl-CS"/>
        </w:rPr>
        <w:t xml:space="preserve"> часова, за парцеле: 2285/</w:t>
      </w:r>
      <w:r w:rsidR="000E3B13">
        <w:rPr>
          <w:rFonts w:ascii="Times New Roman" w:hAnsi="Times New Roman"/>
          <w:sz w:val="24"/>
          <w:szCs w:val="24"/>
          <w:lang w:val="sr-Cyrl-CS"/>
        </w:rPr>
        <w:t>100</w:t>
      </w:r>
      <w:r>
        <w:rPr>
          <w:rFonts w:ascii="Times New Roman" w:hAnsi="Times New Roman"/>
          <w:sz w:val="24"/>
          <w:szCs w:val="24"/>
          <w:lang w:val="sr-Cyrl-CS"/>
        </w:rPr>
        <w:t xml:space="preserve"> до 2285/</w:t>
      </w:r>
      <w:r w:rsidR="000E3B13">
        <w:rPr>
          <w:rFonts w:ascii="Times New Roman" w:hAnsi="Times New Roman"/>
          <w:sz w:val="24"/>
          <w:szCs w:val="24"/>
          <w:lang w:val="sr-Cyrl-CS"/>
        </w:rPr>
        <w:t>114</w:t>
      </w:r>
      <w:r>
        <w:rPr>
          <w:rFonts w:ascii="Times New Roman" w:hAnsi="Times New Roman"/>
          <w:sz w:val="24"/>
          <w:szCs w:val="24"/>
          <w:lang w:val="sr-Cyrl-CS"/>
        </w:rPr>
        <w:t xml:space="preserve"> у </w:t>
      </w:r>
      <w:r>
        <w:rPr>
          <w:rFonts w:ascii="Times New Roman" w:hAnsi="Times New Roman"/>
          <w:b/>
          <w:bCs/>
          <w:sz w:val="24"/>
          <w:szCs w:val="24"/>
          <w:lang w:val="sr-Cyrl-CS"/>
        </w:rPr>
        <w:t>1</w:t>
      </w:r>
      <w:r w:rsidR="000E3B13">
        <w:rPr>
          <w:rFonts w:ascii="Times New Roman" w:hAnsi="Times New Roman"/>
          <w:b/>
          <w:bCs/>
          <w:sz w:val="24"/>
          <w:szCs w:val="24"/>
          <w:lang w:val="sr-Cyrl-CS"/>
        </w:rPr>
        <w:t>5</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2"/>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06E6E"/>
    <w:rsid w:val="00030ACA"/>
    <w:rsid w:val="00055407"/>
    <w:rsid w:val="000710AA"/>
    <w:rsid w:val="000D1D1C"/>
    <w:rsid w:val="000E3B13"/>
    <w:rsid w:val="001A37FE"/>
    <w:rsid w:val="002639B5"/>
    <w:rsid w:val="00346570"/>
    <w:rsid w:val="003B03A5"/>
    <w:rsid w:val="003B5CDE"/>
    <w:rsid w:val="004A50D5"/>
    <w:rsid w:val="004A7A47"/>
    <w:rsid w:val="004E3607"/>
    <w:rsid w:val="00600828"/>
    <w:rsid w:val="006047D1"/>
    <w:rsid w:val="006071A7"/>
    <w:rsid w:val="0067524E"/>
    <w:rsid w:val="006B2CD8"/>
    <w:rsid w:val="007D2E1B"/>
    <w:rsid w:val="007F138E"/>
    <w:rsid w:val="00830CAE"/>
    <w:rsid w:val="00927791"/>
    <w:rsid w:val="00933E63"/>
    <w:rsid w:val="009D60AD"/>
    <w:rsid w:val="00AB4793"/>
    <w:rsid w:val="00AE4460"/>
    <w:rsid w:val="00B03F14"/>
    <w:rsid w:val="00B279F6"/>
    <w:rsid w:val="00B7231E"/>
    <w:rsid w:val="00B746C0"/>
    <w:rsid w:val="00BA483F"/>
    <w:rsid w:val="00BC1C7C"/>
    <w:rsid w:val="00BE40D8"/>
    <w:rsid w:val="00C05C87"/>
    <w:rsid w:val="00C314C5"/>
    <w:rsid w:val="00C4278A"/>
    <w:rsid w:val="00C4534A"/>
    <w:rsid w:val="00C65AF0"/>
    <w:rsid w:val="00C87AD8"/>
    <w:rsid w:val="00CA783A"/>
    <w:rsid w:val="00D300D6"/>
    <w:rsid w:val="00DF51B5"/>
    <w:rsid w:val="00E85F10"/>
    <w:rsid w:val="00E91DDF"/>
    <w:rsid w:val="00EA1765"/>
    <w:rsid w:val="00EE62F1"/>
    <w:rsid w:val="00F00CB2"/>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3606</Words>
  <Characters>20559</Characters>
  <Application>Microsoft Office Word</Application>
  <DocSecurity>0</DocSecurity>
  <Lines>171</Lines>
  <Paragraphs>48</Paragraphs>
  <ScaleCrop>false</ScaleCrop>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Sekretarica načelnika</cp:lastModifiedBy>
  <cp:revision>21</cp:revision>
  <dcterms:created xsi:type="dcterms:W3CDTF">2025-06-24T05:56:00Z</dcterms:created>
  <dcterms:modified xsi:type="dcterms:W3CDTF">2026-02-23T08:53:00Z</dcterms:modified>
</cp:coreProperties>
</file>