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698D" w14:textId="77777777" w:rsidR="00830CAE" w:rsidRDefault="00830CAE" w:rsidP="00830CAE">
      <w:pPr>
        <w:spacing w:after="0" w:line="240" w:lineRule="auto"/>
        <w:rPr>
          <w:rFonts w:ascii="Times New Roman" w:hAnsi="Times New Roman"/>
          <w:b/>
          <w:sz w:val="24"/>
          <w:szCs w:val="24"/>
          <w:lang w:val="sr-Latn-CS"/>
        </w:rPr>
      </w:pPr>
      <w:r>
        <w:rPr>
          <w:rFonts w:ascii="Times New Roman" w:hAnsi="Times New Roman"/>
          <w:b/>
          <w:sz w:val="24"/>
          <w:szCs w:val="24"/>
          <w:lang w:val="sr-Cyrl-CS"/>
        </w:rPr>
        <w:t xml:space="preserve">Јавно комунално предузеће </w:t>
      </w:r>
      <w:r>
        <w:rPr>
          <w:rFonts w:ascii="Times New Roman" w:hAnsi="Times New Roman"/>
          <w:b/>
          <w:sz w:val="24"/>
          <w:szCs w:val="24"/>
          <w:lang w:val="sr-Latn-CS"/>
        </w:rPr>
        <w:t>„</w:t>
      </w:r>
      <w:r>
        <w:rPr>
          <w:rFonts w:ascii="Times New Roman" w:hAnsi="Times New Roman"/>
          <w:b/>
          <w:sz w:val="24"/>
          <w:szCs w:val="24"/>
          <w:lang w:val="sr-Cyrl-CS"/>
        </w:rPr>
        <w:t>ПУТЕВИ ОПШТИНЕ ПЕЋИНЦИ</w:t>
      </w:r>
      <w:r>
        <w:rPr>
          <w:rFonts w:ascii="Times New Roman" w:hAnsi="Times New Roman"/>
          <w:b/>
          <w:sz w:val="24"/>
          <w:szCs w:val="24"/>
          <w:lang w:val="sr-Latn-CS"/>
        </w:rPr>
        <w:t>“</w:t>
      </w:r>
      <w:r>
        <w:rPr>
          <w:rFonts w:ascii="Times New Roman" w:hAnsi="Times New Roman"/>
          <w:b/>
          <w:sz w:val="24"/>
          <w:szCs w:val="24"/>
          <w:lang w:val="sr-Cyrl-CS"/>
        </w:rPr>
        <w:t xml:space="preserve"> Пећинци</w:t>
      </w:r>
    </w:p>
    <w:p w14:paraId="785137BC"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Слободана Бајића 5</w:t>
      </w:r>
    </w:p>
    <w:p w14:paraId="5ED42E9E"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Пећинци</w:t>
      </w:r>
    </w:p>
    <w:p w14:paraId="0D0D3F0A" w14:textId="4F28B416" w:rsidR="00830CAE" w:rsidRPr="002639B5"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Дана</w:t>
      </w:r>
      <w:r>
        <w:rPr>
          <w:rFonts w:ascii="Times New Roman" w:hAnsi="Times New Roman"/>
          <w:b/>
          <w:sz w:val="24"/>
          <w:szCs w:val="24"/>
          <w:lang w:val="sr-Latn-RS"/>
        </w:rPr>
        <w:t>:</w:t>
      </w:r>
      <w:r>
        <w:rPr>
          <w:rFonts w:ascii="Times New Roman" w:hAnsi="Times New Roman"/>
          <w:b/>
          <w:sz w:val="24"/>
          <w:szCs w:val="24"/>
          <w:lang w:val="sr-Cyrl-CS"/>
        </w:rPr>
        <w:t xml:space="preserve"> </w:t>
      </w:r>
      <w:r w:rsidR="000710AA">
        <w:rPr>
          <w:rFonts w:ascii="Times New Roman" w:hAnsi="Times New Roman"/>
          <w:b/>
          <w:sz w:val="24"/>
          <w:szCs w:val="24"/>
          <w:lang w:val="sr-Cyrl-RS"/>
        </w:rPr>
        <w:t>26.11</w:t>
      </w:r>
      <w:r w:rsidR="00C05C87">
        <w:rPr>
          <w:rFonts w:ascii="Times New Roman" w:hAnsi="Times New Roman"/>
          <w:b/>
          <w:sz w:val="24"/>
          <w:szCs w:val="24"/>
        </w:rPr>
        <w:t>.2025</w:t>
      </w:r>
      <w:r w:rsidR="002639B5">
        <w:rPr>
          <w:rFonts w:ascii="Times New Roman" w:hAnsi="Times New Roman"/>
          <w:b/>
          <w:sz w:val="24"/>
          <w:szCs w:val="24"/>
        </w:rPr>
        <w:t>.</w:t>
      </w:r>
      <w:r w:rsidR="002639B5">
        <w:rPr>
          <w:rFonts w:ascii="Times New Roman" w:hAnsi="Times New Roman"/>
          <w:b/>
          <w:sz w:val="24"/>
          <w:szCs w:val="24"/>
          <w:lang w:val="sr-Cyrl-RS"/>
        </w:rPr>
        <w:t>године</w:t>
      </w:r>
    </w:p>
    <w:p w14:paraId="50381BBA" w14:textId="142F0D46" w:rsidR="00830CAE"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 xml:space="preserve">Број: </w:t>
      </w:r>
      <w:r>
        <w:rPr>
          <w:rFonts w:ascii="Times New Roman" w:hAnsi="Times New Roman"/>
          <w:b/>
          <w:sz w:val="24"/>
          <w:szCs w:val="24"/>
        </w:rPr>
        <w:t>215/2025</w:t>
      </w:r>
    </w:p>
    <w:p w14:paraId="138C9826" w14:textId="77777777" w:rsidR="00830CAE" w:rsidRDefault="00830CAE" w:rsidP="00830CAE">
      <w:pPr>
        <w:spacing w:after="0" w:line="240" w:lineRule="auto"/>
        <w:rPr>
          <w:rFonts w:ascii="Times New Roman" w:hAnsi="Times New Roman"/>
          <w:sz w:val="24"/>
          <w:szCs w:val="24"/>
          <w:lang w:val="sr-Cyrl-CS"/>
        </w:rPr>
      </w:pPr>
    </w:p>
    <w:p w14:paraId="13B59AA9"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На основу члана 99 Закона о планирању и изградњи ("Сл. гласник РС", бр. 72/2009, 81/2009 - испр., 64/2010 - одлука УС, 24/2011, 121/2012, 42/2013 - одлука УС, 50/2013 - одлука УС, 98/2013 - одлука УС, 132/2014 и 145/2014) и члана 17 Одлуке о отуђењу и давању у закуп грађевинског земљишта у јавној својини општине Пећинци („Сл. лист општина Срема“, </w:t>
      </w:r>
      <w:r>
        <w:rPr>
          <w:rFonts w:ascii="Times New Roman" w:hAnsi="Times New Roman"/>
          <w:sz w:val="24"/>
          <w:szCs w:val="24"/>
          <w:lang w:val="sr-Latn-RS"/>
        </w:rPr>
        <w:t>18/18</w:t>
      </w:r>
      <w:r>
        <w:rPr>
          <w:rFonts w:ascii="Times New Roman" w:hAnsi="Times New Roman"/>
          <w:sz w:val="24"/>
          <w:szCs w:val="24"/>
          <w:lang w:val="sr-Cyrl-CS"/>
        </w:rPr>
        <w:t xml:space="preserve">),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расписује:</w:t>
      </w:r>
    </w:p>
    <w:p w14:paraId="38FB095B" w14:textId="37DB6613" w:rsidR="00830CAE" w:rsidRDefault="000710AA"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RS"/>
        </w:rPr>
        <w:t>ШЕСТИ</w:t>
      </w:r>
      <w:r w:rsidR="003B5CDE">
        <w:rPr>
          <w:rFonts w:ascii="Times New Roman" w:hAnsi="Times New Roman"/>
          <w:b/>
          <w:sz w:val="24"/>
          <w:szCs w:val="24"/>
          <w:lang w:val="sr-Cyrl-CS"/>
        </w:rPr>
        <w:t xml:space="preserve"> ПОНОВЉЕНИ </w:t>
      </w:r>
      <w:r w:rsidR="00830CAE">
        <w:rPr>
          <w:rFonts w:ascii="Times New Roman" w:hAnsi="Times New Roman"/>
          <w:b/>
          <w:sz w:val="24"/>
          <w:szCs w:val="24"/>
          <w:lang w:val="sr-Cyrl-CS"/>
        </w:rPr>
        <w:t xml:space="preserve">ОГЛАС </w:t>
      </w:r>
    </w:p>
    <w:p w14:paraId="11A2B83C" w14:textId="77777777" w:rsidR="00830CAE" w:rsidRDefault="00830CAE"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за продају путем јавног надметања </w:t>
      </w:r>
    </w:p>
    <w:p w14:paraId="2A8296E9" w14:textId="77777777" w:rsidR="00830CAE" w:rsidRDefault="00830CAE" w:rsidP="00830CAE">
      <w:pPr>
        <w:spacing w:after="0" w:line="240" w:lineRule="auto"/>
        <w:jc w:val="center"/>
        <w:rPr>
          <w:rFonts w:ascii="Times New Roman" w:hAnsi="Times New Roman"/>
          <w:b/>
          <w:sz w:val="24"/>
          <w:szCs w:val="24"/>
          <w:lang w:val="sr-Cyrl-RS"/>
        </w:rPr>
      </w:pPr>
      <w:r>
        <w:rPr>
          <w:rFonts w:ascii="Times New Roman" w:hAnsi="Times New Roman"/>
          <w:b/>
          <w:sz w:val="24"/>
          <w:szCs w:val="24"/>
          <w:lang w:val="sr-Cyrl-CS"/>
        </w:rPr>
        <w:t xml:space="preserve">ради отуђења неизграђеног грађевинског земљишта у јавној својини општине Пећинци у КО </w:t>
      </w:r>
      <w:r>
        <w:rPr>
          <w:rFonts w:ascii="Times New Roman" w:hAnsi="Times New Roman"/>
          <w:b/>
          <w:sz w:val="24"/>
          <w:szCs w:val="24"/>
          <w:lang w:val="sr-Cyrl-RS"/>
        </w:rPr>
        <w:t>Шимановци</w:t>
      </w:r>
    </w:p>
    <w:p w14:paraId="6EE43C90" w14:textId="77777777" w:rsidR="00830CAE" w:rsidRDefault="00830CAE" w:rsidP="00830CAE">
      <w:pPr>
        <w:spacing w:after="0" w:line="240" w:lineRule="auto"/>
        <w:rPr>
          <w:rFonts w:ascii="Times New Roman" w:hAnsi="Times New Roman"/>
          <w:b/>
          <w:sz w:val="24"/>
          <w:szCs w:val="24"/>
          <w:lang w:val="sr-Cyrl-CS"/>
        </w:rPr>
      </w:pPr>
    </w:p>
    <w:p w14:paraId="44F44AEF"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Предмет отуђења је неизграђено грађевинско земљиште у јавној својини општине Пећинци уписано у ЛН </w:t>
      </w:r>
      <w:r>
        <w:rPr>
          <w:rFonts w:ascii="Times New Roman" w:hAnsi="Times New Roman"/>
          <w:sz w:val="24"/>
          <w:szCs w:val="24"/>
          <w:lang w:val="sr-Cyrl-RS"/>
        </w:rPr>
        <w:t xml:space="preserve">2035 </w:t>
      </w:r>
      <w:r>
        <w:rPr>
          <w:rFonts w:ascii="Times New Roman" w:hAnsi="Times New Roman"/>
          <w:sz w:val="24"/>
          <w:szCs w:val="24"/>
          <w:lang w:val="sr-Cyrl-CS"/>
        </w:rPr>
        <w:t xml:space="preserve">КО </w:t>
      </w:r>
      <w:r>
        <w:rPr>
          <w:rFonts w:ascii="Times New Roman" w:hAnsi="Times New Roman"/>
          <w:sz w:val="24"/>
          <w:szCs w:val="24"/>
          <w:lang w:val="sr-Cyrl-RS"/>
        </w:rPr>
        <w:t>Шимановци</w:t>
      </w:r>
      <w:r>
        <w:rPr>
          <w:rFonts w:ascii="Times New Roman" w:hAnsi="Times New Roman"/>
          <w:sz w:val="24"/>
          <w:szCs w:val="24"/>
          <w:lang w:val="sr-Cyrl-CS"/>
        </w:rPr>
        <w:t>, и то:</w:t>
      </w:r>
    </w:p>
    <w:p w14:paraId="6AEB9EF2" w14:textId="35E15903" w:rsidR="00830CAE" w:rsidRDefault="003B5CDE" w:rsidP="00830CAE">
      <w:pPr>
        <w:spacing w:after="0" w:line="240" w:lineRule="auto"/>
        <w:ind w:firstLine="450"/>
        <w:jc w:val="both"/>
        <w:rPr>
          <w:rFonts w:ascii="Times New Roman" w:hAnsi="Times New Roman"/>
          <w:sz w:val="24"/>
          <w:szCs w:val="24"/>
          <w:lang w:val="sr-Cyrl-CS"/>
        </w:rPr>
      </w:pPr>
      <w:r>
        <w:rPr>
          <w:rFonts w:ascii="Times New Roman" w:hAnsi="Times New Roman"/>
          <w:b/>
          <w:bCs/>
          <w:sz w:val="24"/>
          <w:szCs w:val="24"/>
        </w:rPr>
        <w:t xml:space="preserve">2285/28, 2285/31, 2285/33, 2285/34, 2285/35, </w:t>
      </w:r>
      <w:r>
        <w:rPr>
          <w:rFonts w:ascii="Times New Roman" w:hAnsi="Times New Roman"/>
          <w:b/>
          <w:bCs/>
          <w:sz w:val="24"/>
          <w:szCs w:val="24"/>
          <w:lang w:val="sr-Cyrl-CS"/>
        </w:rPr>
        <w:t>2285/53, 2285/56</w:t>
      </w:r>
      <w:r>
        <w:rPr>
          <w:rFonts w:ascii="Times New Roman" w:hAnsi="Times New Roman"/>
          <w:b/>
          <w:bCs/>
          <w:sz w:val="24"/>
          <w:szCs w:val="24"/>
        </w:rPr>
        <w:t xml:space="preserve">, </w:t>
      </w:r>
      <w:bookmarkStart w:id="0" w:name="_Hlk198203519"/>
      <w:r>
        <w:rPr>
          <w:rFonts w:ascii="Times New Roman" w:hAnsi="Times New Roman"/>
          <w:b/>
          <w:bCs/>
          <w:sz w:val="24"/>
          <w:szCs w:val="24"/>
        </w:rPr>
        <w:t xml:space="preserve">2285/57, 2285/58, 2285/59, 2285/60, 2285/61, 2285/62, 2285/63, 2285/64, </w:t>
      </w:r>
      <w:r w:rsidRPr="00CA2FCF">
        <w:rPr>
          <w:rFonts w:ascii="Times New Roman" w:hAnsi="Times New Roman"/>
          <w:b/>
          <w:bCs/>
          <w:sz w:val="24"/>
          <w:szCs w:val="24"/>
        </w:rPr>
        <w:t>2285/71, 2285/72, 2285/73, 2285/74, 2285/75, 2285/76, 2285/77, 2285/78, 2285/79, 2285/80, 2285/81, 2285/82, 2285/85, 2285/87, 2285/88, 2285/89, 2285/90, 2285/91</w:t>
      </w:r>
      <w:bookmarkEnd w:id="0"/>
      <w:r>
        <w:rPr>
          <w:rFonts w:ascii="Times New Roman" w:hAnsi="Times New Roman"/>
          <w:sz w:val="24"/>
          <w:szCs w:val="24"/>
          <w:lang w:val="sr-Cyrl-CS"/>
        </w:rPr>
        <w:t>,</w:t>
      </w:r>
      <w:r>
        <w:rPr>
          <w:rFonts w:ascii="Times New Roman" w:hAnsi="Times New Roman"/>
          <w:sz w:val="24"/>
          <w:szCs w:val="24"/>
        </w:rPr>
        <w:t xml:space="preserve"> </w:t>
      </w:r>
      <w:r w:rsidRPr="00984371">
        <w:rPr>
          <w:rFonts w:ascii="Times New Roman" w:hAnsi="Times New Roman"/>
          <w:b/>
          <w:bCs/>
          <w:sz w:val="24"/>
          <w:szCs w:val="24"/>
        </w:rPr>
        <w:t>2285/94, 2285/95, 2285/96, 2285/97, 2285/98, 2285/99, 2285/100, 2285/101, 2285/102, 2285/103, 2285/104, 2285/105, 2285/106, 2285/107, 2285/108, 2285/109, 2285/110, 2285/111, 2285/112, 2285/113</w:t>
      </w:r>
      <w:r>
        <w:rPr>
          <w:rFonts w:ascii="Times New Roman" w:hAnsi="Times New Roman"/>
          <w:sz w:val="24"/>
          <w:szCs w:val="24"/>
        </w:rPr>
        <w:t xml:space="preserve"> </w:t>
      </w:r>
      <w:r>
        <w:rPr>
          <w:rFonts w:ascii="Times New Roman" w:hAnsi="Times New Roman"/>
          <w:sz w:val="24"/>
          <w:szCs w:val="24"/>
          <w:lang w:val="sr-Cyrl-RS"/>
        </w:rPr>
        <w:t>и</w:t>
      </w:r>
      <w:r>
        <w:rPr>
          <w:rFonts w:ascii="Times New Roman" w:hAnsi="Times New Roman"/>
          <w:sz w:val="24"/>
          <w:szCs w:val="24"/>
        </w:rPr>
        <w:t xml:space="preserve"> </w:t>
      </w:r>
      <w:r w:rsidRPr="00984371">
        <w:rPr>
          <w:rFonts w:ascii="Times New Roman" w:hAnsi="Times New Roman"/>
          <w:b/>
          <w:bCs/>
          <w:sz w:val="24"/>
          <w:szCs w:val="24"/>
        </w:rPr>
        <w:t>2285/114</w:t>
      </w:r>
      <w:r>
        <w:rPr>
          <w:rFonts w:ascii="Times New Roman" w:hAnsi="Times New Roman"/>
          <w:sz w:val="24"/>
          <w:szCs w:val="24"/>
          <w:lang w:val="sr-Cyrl-CS"/>
        </w:rPr>
        <w:t xml:space="preserve">  </w:t>
      </w:r>
      <w:r w:rsidR="00830CAE">
        <w:rPr>
          <w:rFonts w:ascii="Times New Roman" w:hAnsi="Times New Roman"/>
          <w:sz w:val="24"/>
          <w:szCs w:val="24"/>
          <w:lang w:val="sr-Cyrl-CS"/>
        </w:rPr>
        <w:t>земљиште у грађевинском подручју, пашњак 3. класе.</w:t>
      </w:r>
    </w:p>
    <w:p w14:paraId="6C3D87DF" w14:textId="77777777" w:rsidR="00830CAE" w:rsidRDefault="00830CAE" w:rsidP="00830CAE">
      <w:pPr>
        <w:spacing w:line="240" w:lineRule="auto"/>
        <w:contextualSpacing/>
        <w:jc w:val="both"/>
        <w:rPr>
          <w:rFonts w:ascii="Times New Roman" w:hAnsi="Times New Roman"/>
          <w:sz w:val="24"/>
          <w:szCs w:val="24"/>
        </w:rPr>
      </w:pPr>
    </w:p>
    <w:p w14:paraId="0F926DD3" w14:textId="77777777" w:rsidR="00830CAE" w:rsidRDefault="00830CAE" w:rsidP="00830CAE">
      <w:pPr>
        <w:spacing w:line="240" w:lineRule="auto"/>
        <w:contextualSpacing/>
        <w:jc w:val="both"/>
        <w:rPr>
          <w:rFonts w:ascii="Times New Roman" w:hAnsi="Times New Roman"/>
          <w:sz w:val="24"/>
          <w:szCs w:val="24"/>
        </w:rPr>
      </w:pPr>
    </w:p>
    <w:p w14:paraId="7F8BFC35" w14:textId="77777777" w:rsidR="00830CAE" w:rsidRDefault="00830CAE" w:rsidP="00830CAE">
      <w:pPr>
        <w:spacing w:line="240" w:lineRule="auto"/>
        <w:contextualSpacing/>
        <w:jc w:val="both"/>
        <w:rPr>
          <w:rFonts w:ascii="Times New Roman" w:hAnsi="Times New Roman"/>
          <w:sz w:val="24"/>
          <w:szCs w:val="24"/>
        </w:rPr>
      </w:pPr>
    </w:p>
    <w:p w14:paraId="3857852D"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Целине и зоне</w:t>
      </w:r>
    </w:p>
    <w:p w14:paraId="109CD60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Предметне катастарске парцеле К.О.Шимановци налазе се у грађевинском подручју насеља Шимановци блок Б-</w:t>
      </w:r>
      <w:r>
        <w:rPr>
          <w:rFonts w:ascii="Times New Roman" w:hAnsi="Times New Roman"/>
          <w:color w:val="000000"/>
          <w:sz w:val="24"/>
          <w:szCs w:val="24"/>
        </w:rPr>
        <w:t>1</w:t>
      </w:r>
      <w:r>
        <w:rPr>
          <w:rFonts w:ascii="Times New Roman" w:hAnsi="Times New Roman"/>
          <w:color w:val="000000"/>
          <w:sz w:val="24"/>
          <w:szCs w:val="24"/>
          <w:lang w:val="sr-Cyrl-RS"/>
        </w:rPr>
        <w:t>-</w:t>
      </w:r>
      <w:r>
        <w:rPr>
          <w:rFonts w:ascii="Times New Roman" w:hAnsi="Times New Roman"/>
          <w:color w:val="000000"/>
          <w:sz w:val="24"/>
          <w:szCs w:val="24"/>
        </w:rPr>
        <w:t xml:space="preserve">7 </w:t>
      </w:r>
      <w:r>
        <w:rPr>
          <w:rFonts w:ascii="Times New Roman" w:hAnsi="Times New Roman"/>
          <w:color w:val="000000"/>
          <w:sz w:val="24"/>
          <w:szCs w:val="24"/>
          <w:lang w:val="sr-Cyrl-RS"/>
        </w:rPr>
        <w:t>и Б-1-4 у зони породичног становања са компатибилним наменама.</w:t>
      </w:r>
    </w:p>
    <w:p w14:paraId="6BCAC937"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Намена земљишта</w:t>
      </w:r>
    </w:p>
    <w:p w14:paraId="5D962F8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Породично становање</w:t>
      </w:r>
      <w:r>
        <w:rPr>
          <w:rFonts w:ascii="Times New Roman" w:hAnsi="Times New Roman"/>
          <w:color w:val="000000"/>
          <w:sz w:val="24"/>
          <w:szCs w:val="24"/>
          <w:lang w:val="sr-Cyrl-RS"/>
        </w:rPr>
        <w:t xml:space="preserve"> (са компатибилниим наменама)</w:t>
      </w:r>
    </w:p>
    <w:p w14:paraId="65AB15B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Дозвољена је изградња породичних стамбених објеката (макс. 4 стамбене једнице) и објеката пословања и комбинацијама ових намена (макс.4 стамбене/пословне једнице) и помоћних објеката у функцији главног објекта (гараже, оставе и слично). Дозвољена је изградња економских објеката за потребе пољопривредног домаћинства.</w:t>
      </w:r>
    </w:p>
    <w:p w14:paraId="6F6C804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Компатибилне намене: услужне и комерцијалне делатности (трговина, угоститељство, занатске делатности) и пословање свих врста, објекти јавних намена у приватној иницијативи (предшколске установе, здравство, спорт и рекреација и сл.), верски објекти.</w:t>
      </w:r>
    </w:p>
    <w:p w14:paraId="3082984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Није дозвољена изградња индустријских и производних објеката који, функционално и еколошки, нису компатибилни са становањем.</w:t>
      </w:r>
    </w:p>
    <w:p w14:paraId="1D18F6A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61BBE94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Услови парцелације и препарцелације</w:t>
      </w:r>
    </w:p>
    <w:p w14:paraId="00F0CC2B"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lastRenderedPageBreak/>
        <w:t xml:space="preserve">       Услови за парцелацију, препарцелацију и формирање грађевинске парцеле (породично становање, објекти компатибилне намене)</w:t>
      </w:r>
    </w:p>
    <w:p w14:paraId="30D547C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012F024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360 m2</w:t>
      </w:r>
    </w:p>
    <w:p w14:paraId="0375FA4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12 m</w:t>
      </w:r>
    </w:p>
    <w:p w14:paraId="600F2748"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900 m2</w:t>
      </w:r>
    </w:p>
    <w:p w14:paraId="4062ECAA"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2E1DFD1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4F83323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200 m2</w:t>
      </w:r>
    </w:p>
    <w:p w14:paraId="7729960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8 m</w:t>
      </w:r>
    </w:p>
    <w:p w14:paraId="116CAF8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500 m2</w:t>
      </w:r>
    </w:p>
    <w:p w14:paraId="1195CD8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3AFB13A1"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парцелацију, препарцелацију и формирање грађевинске парцеле пољопривредног домаћинства (породично становање уз могућност и компатибилних намена)</w:t>
      </w:r>
    </w:p>
    <w:p w14:paraId="4D2CE1E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DE4242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1.000 m2</w:t>
      </w:r>
    </w:p>
    <w:p w14:paraId="444BCAF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2AB5C3D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2.500 m2</w:t>
      </w:r>
    </w:p>
    <w:p w14:paraId="1A27CB3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03AC570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05934AB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800 m2</w:t>
      </w:r>
    </w:p>
    <w:p w14:paraId="7EA4FCA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1A7E88A3" w14:textId="77777777" w:rsidR="00830CAE" w:rsidRDefault="00830CAE" w:rsidP="00830CAE">
      <w:pPr>
        <w:spacing w:after="0" w:line="240" w:lineRule="auto"/>
        <w:jc w:val="both"/>
        <w:rPr>
          <w:rFonts w:ascii="Times New Roman" w:hAnsi="Times New Roman"/>
          <w:color w:val="FF0000"/>
          <w:sz w:val="24"/>
          <w:szCs w:val="24"/>
          <w:lang w:val="sr-Cyrl-RS"/>
        </w:rPr>
      </w:pPr>
      <w:r>
        <w:rPr>
          <w:rFonts w:ascii="Times New Roman" w:hAnsi="Times New Roman"/>
          <w:color w:val="000000"/>
          <w:sz w:val="24"/>
          <w:szCs w:val="24"/>
          <w:lang w:val="sr-Cyrl-RS"/>
        </w:rPr>
        <w:t xml:space="preserve">      Препоручена макс. површина парцеле: 2.000 m2</w:t>
      </w:r>
    </w:p>
    <w:p w14:paraId="034C9E93"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Правила грађења</w:t>
      </w:r>
    </w:p>
    <w:p w14:paraId="2D6C1A36"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Највећа дозвољена спратност објеката</w:t>
      </w:r>
    </w:p>
    <w:p w14:paraId="273654E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Стамбени објекат до П+2+Пк</w:t>
      </w:r>
    </w:p>
    <w:p w14:paraId="6A64C14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Помоћни и економски објекат П+0</w:t>
      </w:r>
    </w:p>
    <w:p w14:paraId="36573E3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4BFBC9FB"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Највећи дозвољени индекс заузетости грађевинске парцеле</w:t>
      </w:r>
    </w:p>
    <w:p w14:paraId="15808CE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до 360м2 до 70%</w:t>
      </w:r>
    </w:p>
    <w:p w14:paraId="7FA986C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веће од 360м2 до 50%</w:t>
      </w:r>
    </w:p>
    <w:p w14:paraId="25A36CF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0998D57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уређење зелених (незастртих) површина на парцели</w:t>
      </w:r>
    </w:p>
    <w:p w14:paraId="4743035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Обезбедити мин. 30% зелених површина, од чега минимум 20% треба да буде зелених (незастртих) површина, а остатак се може обезбедити и уз коришћење растер плоча (при чему се максимално 50% површине под растер плочама може урачунати у проценат зелених површина).</w:t>
      </w:r>
    </w:p>
    <w:p w14:paraId="70E4D04A" w14:textId="77777777" w:rsidR="00830CAE" w:rsidRDefault="00830CAE" w:rsidP="00830CAE">
      <w:pPr>
        <w:pStyle w:val="ListParagraph"/>
        <w:spacing w:after="0" w:line="240" w:lineRule="auto"/>
        <w:jc w:val="both"/>
        <w:rPr>
          <w:rFonts w:ascii="Times New Roman" w:hAnsi="Times New Roman"/>
          <w:color w:val="FF0000"/>
          <w:sz w:val="24"/>
          <w:szCs w:val="24"/>
          <w:lang w:val="sr-Cyrl-RS"/>
        </w:rPr>
      </w:pPr>
    </w:p>
    <w:p w14:paraId="151787F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изградњу других објеката на истој грађевинској парцели у радним зонама</w:t>
      </w:r>
    </w:p>
    <w:p w14:paraId="42C8DE5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Уколико није другачије одређено у посебним правилима грађења, по правилу, дозвољена је изградња и других објеката исте или компатибилне намене, уз поштовање свих прописаних параметара утврђених овим Планом, уз могућност грађења кондоминијума. У случају да се гради више објеката на грађевинској парцели/комплексу, обезбедити потребне </w:t>
      </w:r>
      <w:r>
        <w:rPr>
          <w:rFonts w:ascii="Times New Roman" w:hAnsi="Times New Roman"/>
          <w:color w:val="000000"/>
          <w:sz w:val="24"/>
          <w:szCs w:val="24"/>
          <w:lang w:val="sr-Cyrl-RS"/>
        </w:rPr>
        <w:lastRenderedPageBreak/>
        <w:t>услове за технолошко функционисање, као и оптималну организацију у односу на сагледљивост, приступ и суседне кориснике.</w:t>
      </w:r>
    </w:p>
    <w:p w14:paraId="2F06528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Међусобна удаљеност објеката на истој грађевинској парцели износи 4,0 m.</w:t>
      </w:r>
    </w:p>
    <w:p w14:paraId="2098AAE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BE06F87"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паркирања</w:t>
      </w:r>
    </w:p>
    <w:p w14:paraId="0C23563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За паркирање возила, власници објеката свих врста обезбеђују манипулативни простор и паркинг или гаражна места на сопственој грађевинској парцели или у складу са одговарајућом одлуком локалне управе, а по следећем нормативу односа потребних паркинг или гаражних места и то:</w:t>
      </w:r>
    </w:p>
    <w:p w14:paraId="42AEB94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становање, 1ПМ за 1 стан;</w:t>
      </w:r>
    </w:p>
    <w:p w14:paraId="440759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услужне и комерцијалне делатности, 1ПМ на 100 m2 бруто грађевинске површине или 1ПМ за једну пословну једницу, уколико је мања од 100 m2 бруто грађевинске површине;</w:t>
      </w:r>
    </w:p>
    <w:p w14:paraId="68F2E329"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банка, здравствена, образовна или административна установа, 1 ПМ на 70 m2 корисног простора;</w:t>
      </w:r>
    </w:p>
    <w:p w14:paraId="490181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пошта, 1 ПМ на 150 m2 корисног простора;</w:t>
      </w:r>
    </w:p>
    <w:p w14:paraId="59C36B4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трговина на мало, 1 ПМ на 100 m2 корисног простора;</w:t>
      </w:r>
    </w:p>
    <w:p w14:paraId="38F8A8D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угоститељски објекат, 1 ПМ на користан простор за 8 столица;</w:t>
      </w:r>
    </w:p>
    <w:p w14:paraId="3673071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хотелијерска установа, 1 ПМ на користан простор за 10 кревета;</w:t>
      </w:r>
    </w:p>
    <w:p w14:paraId="75E3F14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позориште или биоскоп, 1 ПМ на користан простор за 30 гледалаца;</w:t>
      </w:r>
    </w:p>
    <w:p w14:paraId="44ABBDD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спортска хала, 1 ПМ на користан простор за 40 гледалаца;</w:t>
      </w:r>
    </w:p>
    <w:p w14:paraId="0B9E5F3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производни, магацински и индустријски објекат, 1 ПМ на 200 m2 корисног простора.</w:t>
      </w:r>
    </w:p>
    <w:p w14:paraId="55B845E1"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Паркинг место за путничко возило износи најмање 2,5 x 5,0 m а за теретно возило најмање 3,0 x 6,0 m, односно у зависности од величине возила.</w:t>
      </w:r>
    </w:p>
    <w:p w14:paraId="195DB4B6"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AEA7A2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ограђивање комплекса</w:t>
      </w:r>
    </w:p>
    <w:p w14:paraId="505C909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могу се ограђивати зиданом оградом до висине од 0,90m рачунајући од коте тротоара или транспарентном оградом до висине од 1,40m.</w:t>
      </w:r>
    </w:p>
    <w:p w14:paraId="0A24D99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чија је кота нивелете виша од 0,90m од суседне, могу се ограђивати транспарентном оградом до висине 1,40m, која се може поставити на подзид чија висина се одређује одговарајућом техничком документацијом.</w:t>
      </w:r>
    </w:p>
    <w:p w14:paraId="42BB2CD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Зидане и друге врсте ограда постављају се на регулациону линију тако да ограда, стубови ограде и капије буду на грађевинској парцели која се ограђује. Зидана непрозирна ограда између парцела подиже се до висине 1,40 m, уз сагласност суседа, тако да стобови ограде буду на земљишту власника ограде.</w:t>
      </w:r>
    </w:p>
    <w:p w14:paraId="21B3676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Суседне грађевинске парцеле могу се ограђивати живом зеленом оградом, која се сади у осовини границе грађевинске парцеле или транспарентном оградом до висине од 1,40m, која се поставља према катастарском плану и операту, тако да стубови ограде буду на земљишту власника ограде.</w:t>
      </w:r>
    </w:p>
    <w:p w14:paraId="7A91CE1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Ограде парцела на углу улица не могу бити више од 0,90 m од коте тротоара, због прегледности раскрснице и мора да буду транспаренте. Врата и капије на уличној огради не могу се отварати ван регулационе линије.</w:t>
      </w:r>
    </w:p>
    <w:p w14:paraId="469BA6F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на којима се налазе индустријски објекти и остали радни и пословни објекти индустријских зона (складишта, радионице и сл.) могу се ограђивати зиданом оградом висине до 2,20 m.</w:t>
      </w:r>
    </w:p>
    <w:p w14:paraId="5C601EB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xml:space="preserve">      Изузетно, могуће је изградити транспарентну ограду и веће висине, од прописане:</w:t>
      </w:r>
    </w:p>
    <w:p w14:paraId="6E87A1B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уколико посебни прописи то захтевају (поједини инфраструктурни објекти, специфичне намене објеката и сл.);</w:t>
      </w:r>
    </w:p>
    <w:p w14:paraId="64546CCE"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спортских терена и комплекса, у функцији одвијања спортских активности;</w:t>
      </w:r>
    </w:p>
    <w:p w14:paraId="15DF0E0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објеката образовања и предшколских установа.</w:t>
      </w:r>
    </w:p>
    <w:p w14:paraId="2928F6CF"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 правилу, не ограђују се парцеле вишепородичних стамбених објеката.</w:t>
      </w:r>
    </w:p>
    <w:p w14:paraId="239130C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080F8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Архитектонски услови</w:t>
      </w:r>
    </w:p>
    <w:p w14:paraId="144805A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Архитектонско обликовање објеката треба да буде савремено, у духу модерне архитектуре или локалном духу. Архитектура објеката треба да тежи високим естетским дометима, у складу са локацијом и њеним значајем у насељском ткиву, и да одражава афирмативан однос према објектима у окружењу. Није дозвољена примена архитектуре историјских стилова, изузев у случају реконструкције објеката под заштитом, уз обавезно прибављање услова надлежне установе заштите.</w:t>
      </w:r>
    </w:p>
    <w:p w14:paraId="2A0DDB8B"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надзиђивања:</w:t>
      </w:r>
    </w:p>
    <w:p w14:paraId="70AC315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не мењати стилске карактеристике објекта;</w:t>
      </w:r>
    </w:p>
    <w:p w14:paraId="18EDF29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је дозвољена само на нивоу целине објекта, не и за делове;</w:t>
      </w:r>
    </w:p>
    <w:p w14:paraId="7B81050A"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подразумева обезбеђење одговарајућег броја паркинг места, за нове капацитете;</w:t>
      </w:r>
    </w:p>
    <w:p w14:paraId="1FAB3D9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обавезна је провера статичке стабилности објекта и геомеханичких својстава терена на микролокацији.</w:t>
      </w:r>
    </w:p>
    <w:p w14:paraId="076634C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непосредној околини заштићених објеката, приликом изградње, реконструкције и доградње, користити савремене архитектонске концепте, уз примену савремених материјала и техника, уз поштовање урбанистичких карактеристика наслеђа, односно уз примену принципа “планирања у контексту”:</w:t>
      </w:r>
    </w:p>
    <w:p w14:paraId="770474B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поштовање хоризонталне и вертикалне регулације (увођењем “спона-везног дела” у контакту заштићеног и суседног објекта, повлачењем етаже, ради уклапања венца заштићеног и суседног објекта);</w:t>
      </w:r>
    </w:p>
    <w:p w14:paraId="00FF4F7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формирањем основне геометрије фасаде карактеристичне за амбијент.</w:t>
      </w:r>
    </w:p>
    <w:p w14:paraId="5D97D20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обликовање завршне етаже, последњи спрат може имати раван или кос кров (етажа поткровља). Максималан дозвољени нагиб кровних равни износи до 30°. Дозвољено је пројектовати и повучени спрат.</w:t>
      </w:r>
    </w:p>
    <w:p w14:paraId="246256C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оквиру површина индустрије и производње, објекти могу бити грађени од сваког чврстог материјала, који је у употреби, на традиционалан (зидани објекти) или савременији начин (од префабрикованих елемената, укључујући и готове монтажне хале).</w:t>
      </w:r>
    </w:p>
    <w:p w14:paraId="6BA7E09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Кровови могу бити једноводни, двоводни и кровови са више кровних равни. Фасаде објеката могу бити малтерисане, од фасадне опеке или других савремених материјала. Ускладити архитектонски израз (примењене облике, боје и материјале) свих објеката у оквиру радног комплекса.</w:t>
      </w:r>
    </w:p>
    <w:p w14:paraId="2260DC7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Испред главне фасаде објеката (према јавној површини) могуће је постављати јарболе и рекламне тотеме у оквиру зелене или поплочане површине, тако да не ометају саобраћај, а висине макс. 6,0 m.</w:t>
      </w:r>
    </w:p>
    <w:p w14:paraId="78F5F38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0E8C7463"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D59B4A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5738D4F"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lastRenderedPageBreak/>
        <w:t xml:space="preserve">      Економски објекти и економско двориште</w:t>
      </w:r>
    </w:p>
    <w:p w14:paraId="2D00DD1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Економски објекти су објекти за гајење животиња (стаје за гајење коња, штале за гајење говеда, објекти за гајење живине, коза, оваца и свиња, као и објекти за гајење голубова, кунића, украсне живине и птица); пратећи објекти за гајење домаћих животиња (испусти за стоку, бетонске писте за одлагање чврстог стајњака, објекти за складиштење осоке); објекти за складиштење сточне хране (сеници, магацини за складиштење концентроване сточне хране, бетониране сило јаме и сило тренчеви); објекти за складиштење пољопривредних производа (амбари, кошеви) и други слични објекти на пољопривредном газдинству (објекти за машине и возила, пушнице, сушионице, магацини хране и сл.).</w:t>
      </w:r>
    </w:p>
    <w:p w14:paraId="152EFA4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Парцела се може преграђивати у функционалне целине (стамбени део, економски део, економски приступ, стамбени приступ и окућница), с тим да висина унутрашње ограде не може бити већа од висине спољне ограде.</w:t>
      </w:r>
    </w:p>
    <w:p w14:paraId="4644226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Међусобно растојање стамбеног објекта од сточне стаје 15m, растојање ђубришта и пољског клозета од стамбеног објекта, бунара, односно живог извора воде је минимално 20m, и то само на нижој коти.</w:t>
      </w:r>
    </w:p>
    <w:p w14:paraId="3EE799A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Међусобна растојања економских објеката различите врсте зависе од организације економског дворишта, с тим да се прљави објекти могу постављати само низ ветар у односу на чисте објекте.</w:t>
      </w:r>
    </w:p>
    <w:p w14:paraId="55FDD71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Ако се економски објекти суседних парцела непосредно граниче, растојање нових економских објеката од границе парцеле је минимално 1,0 m. Ако се економски део једне парцеле непосредно граничи са стамбеним делом друге парцеле, растојање нових економских објеката у односу на стамбени објекат на другој парцели се утврђује: </w:t>
      </w:r>
    </w:p>
    <w:p w14:paraId="06321F4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за сточну стају – минимално 15m; </w:t>
      </w:r>
    </w:p>
    <w:p w14:paraId="4BE75D1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за ђубриште и пољски клозет – минимално 20m и то само на</w:t>
      </w:r>
    </w:p>
    <w:p w14:paraId="05EACA7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нижој коти.</w:t>
      </w:r>
    </w:p>
    <w:p w14:paraId="1B6711C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Најмања ширина приступног, економског пута на парцели је 3,5m.</w:t>
      </w:r>
    </w:p>
    <w:p w14:paraId="5C21B62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555B6C"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парцели, регулациона и грађевинска линија</w:t>
      </w:r>
    </w:p>
    <w:p w14:paraId="29A0F7A2" w14:textId="77777777" w:rsidR="00830CAE" w:rsidRDefault="00830CAE" w:rsidP="00830CAE">
      <w:pPr>
        <w:spacing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границе грађевинске парцеле и објекте на суседним парцелама (породично становање)</w:t>
      </w:r>
    </w:p>
    <w:p w14:paraId="1F48BA9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42A602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мин. 0,5 и 3,0 m</w:t>
      </w:r>
    </w:p>
    <w:p w14:paraId="28B6E42D"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мин. 3,0 m</w:t>
      </w:r>
    </w:p>
    <w:p w14:paraId="0B5C5470"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7020081A"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17E3CF3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1991884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0,5 m и 3,0 м </w:t>
      </w:r>
    </w:p>
    <w:p w14:paraId="7F2541E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3,0 m </w:t>
      </w:r>
    </w:p>
    <w:p w14:paraId="535E841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6BFEA80B"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23819C98"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прикључења на инфраструктуру</w:t>
      </w:r>
    </w:p>
    <w:p w14:paraId="3E612A97" w14:textId="77777777" w:rsidR="00830CAE" w:rsidRDefault="00830CAE" w:rsidP="00830CAE">
      <w:pPr>
        <w:spacing w:after="0" w:line="240" w:lineRule="auto"/>
        <w:ind w:left="720"/>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Услови прикључења ће се дефинисати кроз техничке услове и сагласности имаоца јавних овлашћења.</w:t>
      </w:r>
    </w:p>
    <w:p w14:paraId="30ABC59D" w14:textId="77777777" w:rsidR="00830CAE" w:rsidRDefault="00830CAE" w:rsidP="00830CAE">
      <w:pPr>
        <w:spacing w:after="0" w:line="240" w:lineRule="auto"/>
        <w:ind w:left="720"/>
        <w:contextualSpacing/>
        <w:jc w:val="both"/>
        <w:rPr>
          <w:rFonts w:ascii="Times New Roman" w:hAnsi="Times New Roman"/>
          <w:color w:val="FF0000"/>
          <w:sz w:val="24"/>
          <w:szCs w:val="24"/>
          <w:lang w:val="sr-Cyrl-RS"/>
        </w:rPr>
      </w:pPr>
    </w:p>
    <w:p w14:paraId="48C8DAF2"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sz w:val="24"/>
          <w:szCs w:val="24"/>
          <w:lang w:val="sr-Cyrl-RS"/>
        </w:rPr>
        <w:t xml:space="preserve">     Подаци о парцели и парцелацији</w:t>
      </w:r>
    </w:p>
    <w:p w14:paraId="5C84579E" w14:textId="77777777" w:rsidR="00830CAE" w:rsidRDefault="00830CAE" w:rsidP="00830CAE">
      <w:pPr>
        <w:pStyle w:val="ListParagraph"/>
        <w:spacing w:after="0" w:line="240" w:lineRule="auto"/>
        <w:ind w:left="0"/>
        <w:jc w:val="both"/>
        <w:rPr>
          <w:rFonts w:ascii="Times New Roman" w:hAnsi="Times New Roman"/>
          <w:color w:val="FF0000"/>
          <w:sz w:val="24"/>
          <w:szCs w:val="24"/>
          <w:lang w:val="sr-Cyrl-RS"/>
        </w:rPr>
      </w:pPr>
      <w:r>
        <w:rPr>
          <w:rFonts w:ascii="Times New Roman" w:hAnsi="Times New Roman"/>
          <w:b/>
          <w:color w:val="000000"/>
          <w:sz w:val="24"/>
          <w:szCs w:val="24"/>
          <w:lang w:val="sr-Cyrl-RS"/>
        </w:rPr>
        <w:lastRenderedPageBreak/>
        <w:t xml:space="preserve">     </w:t>
      </w:r>
      <w:r>
        <w:rPr>
          <w:rFonts w:ascii="Times New Roman" w:hAnsi="Times New Roman"/>
          <w:color w:val="000000"/>
          <w:sz w:val="24"/>
          <w:szCs w:val="24"/>
          <w:lang w:val="sr-Cyrl-RS"/>
        </w:rPr>
        <w:t>Предметне катастарске парцеле К.О. Шимановци са наменом породично становање са компатибилним наменама имају излаз на јавне саобраћајне површине.</w:t>
      </w:r>
    </w:p>
    <w:p w14:paraId="5C224334"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Инжењерско-геолошки услови</w:t>
      </w:r>
    </w:p>
    <w:p w14:paraId="297916E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ab/>
      </w:r>
      <w:r>
        <w:rPr>
          <w:rFonts w:ascii="Times New Roman" w:hAnsi="Times New Roman"/>
          <w:color w:val="000000"/>
          <w:sz w:val="24"/>
          <w:szCs w:val="24"/>
          <w:lang w:val="sr-Cyrl-RS"/>
        </w:rPr>
        <w:t>Шимановци, као и читава општина Пећинци, припада зони са умереним степеном сеизмичности од 7</w:t>
      </w:r>
      <w:r>
        <w:rPr>
          <w:rFonts w:ascii="Times New Roman" w:hAnsi="Times New Roman"/>
          <w:color w:val="000000"/>
          <w:sz w:val="24"/>
          <w:szCs w:val="24"/>
          <w:vertAlign w:val="superscript"/>
          <w:lang w:val="sr-Cyrl-RS"/>
        </w:rPr>
        <w:t xml:space="preserve">о </w:t>
      </w:r>
      <w:r>
        <w:rPr>
          <w:rFonts w:ascii="Times New Roman" w:hAnsi="Times New Roman"/>
          <w:color w:val="000000"/>
          <w:sz w:val="24"/>
          <w:szCs w:val="24"/>
          <w:lang w:val="sr-Cyrl-RS"/>
        </w:rPr>
        <w:t>МСЦ, те је потребно све објекте прорачунати на отпорност од поменутог степена сеизмичности.</w:t>
      </w:r>
    </w:p>
    <w:p w14:paraId="257177A9" w14:textId="77777777" w:rsidR="00830CAE" w:rsidRDefault="00830CAE" w:rsidP="00830CAE">
      <w:pPr>
        <w:spacing w:after="0" w:line="240" w:lineRule="auto"/>
        <w:jc w:val="both"/>
        <w:rPr>
          <w:rFonts w:ascii="Times New Roman" w:hAnsi="Times New Roman"/>
          <w:color w:val="FF0000"/>
          <w:sz w:val="24"/>
          <w:szCs w:val="24"/>
          <w:lang w:val="sr-Cyrl-RS"/>
        </w:rPr>
      </w:pPr>
    </w:p>
    <w:p w14:paraId="0D086803"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 xml:space="preserve">     Даља урбанистичка разрада</w:t>
      </w:r>
    </w:p>
    <w:p w14:paraId="168AF7DC"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прописује се за локације/комплексе, у случају нове изградње на површинама јавне и остале намене за:</w:t>
      </w:r>
    </w:p>
    <w:p w14:paraId="6C53724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државне и локалне управе;</w:t>
      </w:r>
    </w:p>
    <w:p w14:paraId="5855342A"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основно образовање;</w:t>
      </w:r>
    </w:p>
    <w:p w14:paraId="57BF05A6"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предшколско образовање;</w:t>
      </w:r>
    </w:p>
    <w:p w14:paraId="56489BB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културу;</w:t>
      </w:r>
    </w:p>
    <w:p w14:paraId="3A8A1F88"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здравствену заштиту (здравствена станица);</w:t>
      </w:r>
    </w:p>
    <w:p w14:paraId="5FE887C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социјалну заштиту (дом за стара лица), који се граде као компатибилна намена;</w:t>
      </w:r>
    </w:p>
    <w:p w14:paraId="76AD182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спорт и рекреацију;</w:t>
      </w:r>
    </w:p>
    <w:p w14:paraId="6983B773"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станице са снабдевање горивом, који се граде као компатибилна намена;</w:t>
      </w:r>
    </w:p>
    <w:p w14:paraId="7D21B49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комерцијалних делатности, туризма и пословања, који се граде као компатибилна намена у зонама становања;</w:t>
      </w:r>
    </w:p>
    <w:p w14:paraId="111990F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вишепородично становање и пословање и комбинације ових намена у зонама мешовите намене и становања;</w:t>
      </w:r>
    </w:p>
    <w:p w14:paraId="1CDC4A99"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верске објекте, који се граде као компатибилна намена;</w:t>
      </w:r>
    </w:p>
    <w:p w14:paraId="4A269FC1"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изградњу економских објеката, површине веће од 400 m2.</w:t>
      </w:r>
    </w:p>
    <w:p w14:paraId="46CB969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и за локације на којима је услед планиране сложене намене или величине објекта, комплекса и парцеле потребно утврдити посебна правила за уређење и изградњу на парцели:</w:t>
      </w:r>
    </w:p>
    <w:p w14:paraId="0B5CF2C7"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Пројекте са Листе I и II Уредбе о одређивању активности чије обављање утиче на животну средину;</w:t>
      </w:r>
    </w:p>
    <w:p w14:paraId="07DA808E"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објекте на чију сагласност на техничку документацију у погледу мера заштите од пожара даје подручна јединица органа надлежног Министарства.</w:t>
      </w:r>
    </w:p>
    <w:p w14:paraId="64828D4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за кондоминијуме, као и за грађевинске комплексе.</w:t>
      </w:r>
    </w:p>
    <w:p w14:paraId="7F72670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Прописује се обавезна израда урбанистичког пројекта за сваку промену намене из планиране претежне у дозвољену компатибилну..</w:t>
      </w:r>
    </w:p>
    <w:p w14:paraId="62E87FDE" w14:textId="77777777" w:rsidR="00830CAE" w:rsidRDefault="00830CAE" w:rsidP="00830CAE">
      <w:pPr>
        <w:spacing w:after="0" w:line="240" w:lineRule="auto"/>
        <w:ind w:left="720"/>
        <w:jc w:val="both"/>
        <w:rPr>
          <w:rFonts w:ascii="Times New Roman" w:hAnsi="Times New Roman"/>
          <w:color w:val="000000"/>
          <w:sz w:val="24"/>
          <w:szCs w:val="24"/>
          <w:lang w:val="sr-Cyrl-RS"/>
        </w:rPr>
      </w:pPr>
    </w:p>
    <w:p w14:paraId="0C7E4430"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Ограничења</w:t>
      </w:r>
    </w:p>
    <w:p w14:paraId="630AA56D" w14:textId="77777777" w:rsidR="00830CAE" w:rsidRDefault="00830CAE" w:rsidP="00830CAE">
      <w:pPr>
        <w:spacing w:after="0" w:line="240" w:lineRule="auto"/>
        <w:jc w:val="both"/>
        <w:rPr>
          <w:rFonts w:ascii="Times New Roman" w:hAnsi="Times New Roman"/>
          <w:bCs/>
          <w:color w:val="000000"/>
          <w:sz w:val="24"/>
          <w:szCs w:val="24"/>
          <w:lang w:val="sr-Cyrl-RS"/>
        </w:rPr>
      </w:pPr>
      <w:r>
        <w:rPr>
          <w:rFonts w:ascii="Times New Roman" w:hAnsi="Times New Roman"/>
          <w:bCs/>
          <w:color w:val="000000"/>
          <w:sz w:val="24"/>
          <w:szCs w:val="24"/>
          <w:lang w:val="sr-Cyrl-RS"/>
        </w:rPr>
        <w:t xml:space="preserve">      Изградњом новог објекта не сме се на било који начин угрозити суседни објекти на суседним парцелама (у статичком смислу и по питању намена које делују угрожавајуће на постојеће објекте). Обавезна израда урбанистичког пројекта условљена је уколико изградња објеката испуњава услове у тачки 10. Даља урбанистичка разрада ове информације о локацији</w:t>
      </w:r>
    </w:p>
    <w:p w14:paraId="2A792515" w14:textId="77777777" w:rsidR="00830CAE" w:rsidRDefault="00830CAE" w:rsidP="00830CAE">
      <w:pPr>
        <w:spacing w:after="0" w:line="240" w:lineRule="auto"/>
        <w:jc w:val="both"/>
        <w:rPr>
          <w:rFonts w:ascii="Times New Roman" w:hAnsi="Times New Roman"/>
          <w:bCs/>
          <w:color w:val="000000"/>
          <w:sz w:val="24"/>
          <w:szCs w:val="24"/>
          <w:lang w:val="sr-Cyrl-RS"/>
        </w:rPr>
      </w:pPr>
    </w:p>
    <w:p w14:paraId="04907258" w14:textId="77777777" w:rsidR="00830CAE" w:rsidRDefault="00830CAE" w:rsidP="00830CAE">
      <w:pPr>
        <w:tabs>
          <w:tab w:val="left" w:pos="540"/>
        </w:tabs>
        <w:spacing w:after="0" w:line="240" w:lineRule="auto"/>
        <w:jc w:val="both"/>
        <w:rPr>
          <w:rFonts w:ascii="Times New Roman" w:hAnsi="Times New Roman"/>
          <w:sz w:val="24"/>
          <w:szCs w:val="24"/>
          <w:lang w:val="sr-Cyrl-CS"/>
        </w:rPr>
      </w:pPr>
      <w:r>
        <w:rPr>
          <w:rFonts w:ascii="Times New Roman" w:hAnsi="Times New Roman"/>
          <w:color w:val="FF0000"/>
          <w:sz w:val="24"/>
          <w:szCs w:val="24"/>
          <w:lang w:val="sr-Cyrl-CS"/>
        </w:rPr>
        <w:lastRenderedPageBreak/>
        <w:tab/>
      </w:r>
      <w:r>
        <w:rPr>
          <w:rFonts w:ascii="Times New Roman" w:hAnsi="Times New Roman"/>
          <w:sz w:val="24"/>
          <w:szCs w:val="24"/>
          <w:lang w:val="sr-Cyrl-CS"/>
        </w:rPr>
        <w:t>Обавезе купца: да сноси трошкове пројектовања, исходовања одобрења за градњу, изградње и исходовање употребне дозволе за електро-енергетску мрежу у објекте, водовод и канализацију, ТТ мрежу, топлификацију, уређење слободних површина и заштиту животне средине.</w:t>
      </w:r>
    </w:p>
    <w:p w14:paraId="347F5A09" w14:textId="77777777" w:rsidR="00830CAE" w:rsidRDefault="00830CAE" w:rsidP="00830CAE">
      <w:pPr>
        <w:spacing w:after="0" w:line="240" w:lineRule="auto"/>
        <w:ind w:firstLine="450"/>
        <w:jc w:val="both"/>
        <w:rPr>
          <w:rFonts w:ascii="Times New Roman" w:hAnsi="Times New Roman"/>
          <w:sz w:val="24"/>
          <w:szCs w:val="24"/>
          <w:lang w:val="sr-Cyrl-CS"/>
        </w:rPr>
      </w:pPr>
    </w:p>
    <w:p w14:paraId="14ADCA5D"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Општина Пећинци и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немају никаквих обавеза према купцу.</w:t>
      </w:r>
    </w:p>
    <w:p w14:paraId="6A390303" w14:textId="77777777" w:rsidR="00830CAE" w:rsidRDefault="00830CAE" w:rsidP="00830CAE">
      <w:pPr>
        <w:spacing w:after="0" w:line="240" w:lineRule="auto"/>
        <w:ind w:firstLine="540"/>
        <w:jc w:val="both"/>
        <w:rPr>
          <w:rFonts w:ascii="Times New Roman" w:hAnsi="Times New Roman"/>
          <w:sz w:val="24"/>
          <w:szCs w:val="24"/>
          <w:lang w:val="sr-Cyrl-CS"/>
        </w:rPr>
      </w:pPr>
    </w:p>
    <w:p w14:paraId="283570E5"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Допринос за уређивање грађевинског земљишта сноси купац, као инвеститор на начин и у роковима како је то одређено чланом 97 Закона о планирању и изградњи ("Сл. гласник РС", бр. 72/2009, 81/2009 - испр., 64/2010 - одлука УС, 24/2011, 121/2012, 42/2013 - одлука УС, 50/2013 - одлука УС, 98/2013 - одлука УС, 132/2014</w:t>
      </w:r>
      <w:r>
        <w:rPr>
          <w:rFonts w:ascii="Times New Roman" w:hAnsi="Times New Roman"/>
          <w:sz w:val="24"/>
          <w:szCs w:val="24"/>
          <w:lang w:val="ru-RU"/>
        </w:rPr>
        <w:t xml:space="preserve">, </w:t>
      </w:r>
      <w:r>
        <w:rPr>
          <w:rFonts w:ascii="Times New Roman" w:hAnsi="Times New Roman"/>
          <w:sz w:val="24"/>
          <w:szCs w:val="24"/>
          <w:lang w:val="sr-Cyrl-CS"/>
        </w:rPr>
        <w:t>145/2014</w:t>
      </w:r>
      <w:r>
        <w:rPr>
          <w:rFonts w:ascii="Times New Roman" w:hAnsi="Times New Roman"/>
          <w:sz w:val="24"/>
          <w:szCs w:val="24"/>
          <w:lang w:val="ru-RU"/>
        </w:rPr>
        <w:t xml:space="preserve">, 83/2018, 31/2019, 37/2019 – </w:t>
      </w:r>
      <w:r>
        <w:rPr>
          <w:rFonts w:ascii="Times New Roman" w:hAnsi="Times New Roman"/>
          <w:sz w:val="24"/>
          <w:szCs w:val="24"/>
          <w:lang w:val="sr-Cyrl-RS"/>
        </w:rPr>
        <w:t xml:space="preserve">др. закон и </w:t>
      </w:r>
      <w:r>
        <w:rPr>
          <w:rFonts w:ascii="Times New Roman" w:hAnsi="Times New Roman"/>
          <w:sz w:val="24"/>
          <w:szCs w:val="24"/>
          <w:lang w:val="ru-RU"/>
        </w:rPr>
        <w:t>9/2020</w:t>
      </w:r>
      <w:r>
        <w:rPr>
          <w:rFonts w:ascii="Times New Roman" w:hAnsi="Times New Roman"/>
          <w:sz w:val="24"/>
          <w:szCs w:val="24"/>
          <w:lang w:val="sr-Cyrl-CS"/>
        </w:rPr>
        <w:t>).</w:t>
      </w:r>
    </w:p>
    <w:p w14:paraId="2538BCC3" w14:textId="77777777" w:rsidR="00830CAE" w:rsidRDefault="00830CAE" w:rsidP="00830CAE">
      <w:pPr>
        <w:spacing w:after="0" w:line="240" w:lineRule="auto"/>
        <w:ind w:firstLine="540"/>
        <w:jc w:val="both"/>
        <w:rPr>
          <w:rFonts w:ascii="Times New Roman" w:hAnsi="Times New Roman"/>
          <w:sz w:val="24"/>
          <w:szCs w:val="24"/>
          <w:lang w:val="sr-Cyrl-CS"/>
        </w:rPr>
      </w:pPr>
    </w:p>
    <w:p w14:paraId="0CAE47D4" w14:textId="77777777" w:rsidR="00830CAE" w:rsidRDefault="00830CAE" w:rsidP="00830CA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Почетна цена за јавно надметање  износи:</w:t>
      </w:r>
    </w:p>
    <w:p w14:paraId="15065255" w14:textId="28C9EBF9" w:rsidR="00830CAE" w:rsidRDefault="00D300D6" w:rsidP="00830CAE">
      <w:pPr>
        <w:spacing w:after="0" w:line="240" w:lineRule="auto"/>
        <w:ind w:firstLine="540"/>
        <w:jc w:val="both"/>
        <w:rPr>
          <w:rFonts w:ascii="Times New Roman" w:hAnsi="Times New Roman"/>
          <w:sz w:val="24"/>
          <w:szCs w:val="24"/>
        </w:rPr>
      </w:pPr>
      <w:r>
        <w:rPr>
          <w:rFonts w:ascii="Times New Roman" w:hAnsi="Times New Roman"/>
          <w:b/>
          <w:bCs/>
          <w:sz w:val="24"/>
          <w:szCs w:val="24"/>
        </w:rPr>
        <w:t>2.918</w:t>
      </w:r>
      <w:r w:rsidR="00830CAE">
        <w:rPr>
          <w:rFonts w:ascii="Times New Roman" w:hAnsi="Times New Roman"/>
          <w:b/>
          <w:bCs/>
          <w:sz w:val="24"/>
          <w:szCs w:val="24"/>
          <w:lang w:val="sr-Cyrl-CS"/>
        </w:rPr>
        <w:t>,00</w:t>
      </w:r>
      <w:r w:rsidR="00830CAE">
        <w:rPr>
          <w:rFonts w:ascii="Times New Roman" w:hAnsi="Times New Roman"/>
          <w:sz w:val="24"/>
          <w:szCs w:val="24"/>
          <w:lang w:val="sr-Cyrl-CS"/>
        </w:rPr>
        <w:t xml:space="preserve"> динара/м</w:t>
      </w:r>
      <w:r w:rsidR="00830CAE">
        <w:rPr>
          <w:rFonts w:ascii="Times New Roman" w:hAnsi="Times New Roman"/>
          <w:sz w:val="24"/>
          <w:szCs w:val="24"/>
          <w:vertAlign w:val="superscript"/>
          <w:lang w:val="sr-Cyrl-CS"/>
        </w:rPr>
        <w:t>2</w:t>
      </w:r>
      <w:r w:rsidR="00830CAE">
        <w:rPr>
          <w:rFonts w:ascii="Times New Roman" w:hAnsi="Times New Roman"/>
          <w:sz w:val="24"/>
          <w:szCs w:val="24"/>
          <w:lang w:val="sr-Cyrl-CS"/>
        </w:rPr>
        <w:t>,</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односно</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укупно за</w:t>
      </w:r>
    </w:p>
    <w:p w14:paraId="4F98DA78" w14:textId="77777777" w:rsidR="003B5CDE" w:rsidRDefault="003B5CDE" w:rsidP="003B5CDE">
      <w:pPr>
        <w:spacing w:after="0" w:line="240" w:lineRule="auto"/>
        <w:ind w:firstLine="540"/>
        <w:jc w:val="both"/>
        <w:rPr>
          <w:rFonts w:ascii="Times New Roman" w:hAnsi="Times New Roman"/>
          <w:sz w:val="24"/>
          <w:szCs w:val="24"/>
          <w:lang w:val="sr-Cyrl-RS"/>
        </w:rPr>
      </w:pPr>
      <w:bookmarkStart w:id="1" w:name="_Hlk201131710"/>
      <w:r>
        <w:rPr>
          <w:rFonts w:ascii="Times New Roman" w:hAnsi="Times New Roman"/>
          <w:sz w:val="24"/>
          <w:szCs w:val="24"/>
          <w:lang w:val="sr-Cyrl-RS"/>
        </w:rPr>
        <w:t>- к.п. 2285/28,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bookmarkEnd w:id="1"/>
    <w:p w14:paraId="6D89356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2285/31,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05D9E969"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2285/33,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13DC148C"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2285/34,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7D0D098F"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2285/35,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2810647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2285/53,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17EB7E2E"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2285/56,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405466B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2285/57,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00F5DA5F"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2285/58,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72C7181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2285/59,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AF449A7"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2285/60,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68BA777D"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2285/61,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486DEDC"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2285/62,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5207FB4"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2285/63,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ACFF7CD"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2285/64,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122567A9" w14:textId="77777777" w:rsidR="003B5CDE" w:rsidRPr="00D300D6"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71</w:t>
      </w:r>
      <w:r>
        <w:rPr>
          <w:rFonts w:ascii="Times New Roman" w:hAnsi="Times New Roman"/>
          <w:sz w:val="24"/>
          <w:szCs w:val="24"/>
          <w:lang w:val="sr-Cyrl-RS"/>
        </w:rPr>
        <w:t>, површине 6</w:t>
      </w:r>
      <w:r>
        <w:rPr>
          <w:rFonts w:ascii="Times New Roman" w:hAnsi="Times New Roman"/>
          <w:sz w:val="24"/>
          <w:szCs w:val="24"/>
        </w:rPr>
        <w:t>97m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2.033.846,00</w:t>
      </w:r>
      <w:r>
        <w:rPr>
          <w:rFonts w:ascii="Times New Roman" w:hAnsi="Times New Roman"/>
          <w:sz w:val="24"/>
          <w:szCs w:val="24"/>
          <w:lang w:val="sr-Cyrl-RS"/>
        </w:rPr>
        <w:t>динара</w:t>
      </w:r>
      <w:r>
        <w:rPr>
          <w:rFonts w:ascii="Times New Roman" w:hAnsi="Times New Roman"/>
          <w:sz w:val="24"/>
          <w:szCs w:val="24"/>
        </w:rPr>
        <w:t>;</w:t>
      </w:r>
    </w:p>
    <w:p w14:paraId="4006735F"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72</w:t>
      </w:r>
      <w:r>
        <w:rPr>
          <w:rFonts w:ascii="Times New Roman" w:hAnsi="Times New Roman"/>
          <w:sz w:val="24"/>
          <w:szCs w:val="24"/>
          <w:lang w:val="sr-Cyrl-RS"/>
        </w:rPr>
        <w:t>, површине 6</w:t>
      </w:r>
      <w:r>
        <w:rPr>
          <w:rFonts w:ascii="Times New Roman" w:hAnsi="Times New Roman"/>
          <w:sz w:val="24"/>
          <w:szCs w:val="24"/>
        </w:rPr>
        <w:t>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5284C719"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73</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4AD6DDC7"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74</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3006F103"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75</w:t>
      </w:r>
      <w:r>
        <w:rPr>
          <w:rFonts w:ascii="Times New Roman" w:hAnsi="Times New Roman"/>
          <w:sz w:val="24"/>
          <w:szCs w:val="24"/>
          <w:lang w:val="sr-Cyrl-RS"/>
        </w:rPr>
        <w:t xml:space="preserve">, површине </w:t>
      </w:r>
      <w:r>
        <w:rPr>
          <w:rFonts w:ascii="Times New Roman" w:hAnsi="Times New Roman"/>
          <w:sz w:val="24"/>
          <w:szCs w:val="24"/>
        </w:rPr>
        <w:t>646m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1.885.028,00</w:t>
      </w:r>
      <w:r>
        <w:rPr>
          <w:rFonts w:ascii="Times New Roman" w:hAnsi="Times New Roman"/>
          <w:sz w:val="24"/>
          <w:szCs w:val="24"/>
          <w:lang w:val="sr-Cyrl-RS"/>
        </w:rPr>
        <w:t>динара</w:t>
      </w:r>
      <w:r>
        <w:rPr>
          <w:rFonts w:ascii="Times New Roman" w:hAnsi="Times New Roman"/>
          <w:sz w:val="24"/>
          <w:szCs w:val="24"/>
        </w:rPr>
        <w:t>;</w:t>
      </w:r>
    </w:p>
    <w:p w14:paraId="1558D224"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76</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B825E96"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77</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23735A1D"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78</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B54D82A"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79</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20F57DA1"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80</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4E15013"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81</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52C9A06C"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82</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C1C3FEE"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85</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1854FC7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87</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0F656ED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88</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41592AC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lastRenderedPageBreak/>
        <w:t>- к.п. 2285/</w:t>
      </w:r>
      <w:r>
        <w:rPr>
          <w:rFonts w:ascii="Times New Roman" w:hAnsi="Times New Roman"/>
          <w:sz w:val="24"/>
          <w:szCs w:val="24"/>
        </w:rPr>
        <w:t>89</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14CA1E5C"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90</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28FB66A5"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91</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4F9D9CC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2285/94, површине 421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1.228.478</w:t>
      </w:r>
      <w:r>
        <w:rPr>
          <w:rFonts w:ascii="Times New Roman" w:hAnsi="Times New Roman"/>
          <w:sz w:val="24"/>
          <w:szCs w:val="24"/>
        </w:rPr>
        <w:t>,00</w:t>
      </w:r>
      <w:r>
        <w:rPr>
          <w:rFonts w:ascii="Times New Roman" w:hAnsi="Times New Roman"/>
          <w:sz w:val="24"/>
          <w:szCs w:val="24"/>
          <w:lang w:val="sr-Cyrl-RS"/>
        </w:rPr>
        <w:t>динара;</w:t>
      </w:r>
    </w:p>
    <w:p w14:paraId="6C93AFFE"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2285/95, површине 448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1.307.264</w:t>
      </w:r>
      <w:r>
        <w:rPr>
          <w:rFonts w:ascii="Times New Roman" w:hAnsi="Times New Roman"/>
          <w:sz w:val="24"/>
          <w:szCs w:val="24"/>
        </w:rPr>
        <w:t>,00</w:t>
      </w:r>
      <w:r>
        <w:rPr>
          <w:rFonts w:ascii="Times New Roman" w:hAnsi="Times New Roman"/>
          <w:sz w:val="24"/>
          <w:szCs w:val="24"/>
          <w:lang w:val="sr-Cyrl-RS"/>
        </w:rPr>
        <w:t>динара;</w:t>
      </w:r>
    </w:p>
    <w:p w14:paraId="78D3843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2285/96, површине 475</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1.386.050</w:t>
      </w:r>
      <w:r>
        <w:rPr>
          <w:rFonts w:ascii="Times New Roman" w:hAnsi="Times New Roman"/>
          <w:sz w:val="24"/>
          <w:szCs w:val="24"/>
        </w:rPr>
        <w:t>,00</w:t>
      </w:r>
      <w:r>
        <w:rPr>
          <w:rFonts w:ascii="Times New Roman" w:hAnsi="Times New Roman"/>
          <w:sz w:val="24"/>
          <w:szCs w:val="24"/>
          <w:lang w:val="sr-Cyrl-RS"/>
        </w:rPr>
        <w:t>динара;</w:t>
      </w:r>
    </w:p>
    <w:p w14:paraId="6584A71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2285/97, површине 502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1.464.836</w:t>
      </w:r>
      <w:r>
        <w:rPr>
          <w:rFonts w:ascii="Times New Roman" w:hAnsi="Times New Roman"/>
          <w:sz w:val="24"/>
          <w:szCs w:val="24"/>
        </w:rPr>
        <w:t>,00</w:t>
      </w:r>
      <w:r>
        <w:rPr>
          <w:rFonts w:ascii="Times New Roman" w:hAnsi="Times New Roman"/>
          <w:sz w:val="24"/>
          <w:szCs w:val="24"/>
          <w:lang w:val="sr-Cyrl-RS"/>
        </w:rPr>
        <w:t>динара;</w:t>
      </w:r>
    </w:p>
    <w:p w14:paraId="2D0A3D13"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2285/98, површине 529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1.543.622</w:t>
      </w:r>
      <w:r>
        <w:rPr>
          <w:rFonts w:ascii="Times New Roman" w:hAnsi="Times New Roman"/>
          <w:sz w:val="24"/>
          <w:szCs w:val="24"/>
        </w:rPr>
        <w:t>,00</w:t>
      </w:r>
      <w:r>
        <w:rPr>
          <w:rFonts w:ascii="Times New Roman" w:hAnsi="Times New Roman"/>
          <w:sz w:val="24"/>
          <w:szCs w:val="24"/>
          <w:lang w:val="sr-Cyrl-RS"/>
        </w:rPr>
        <w:t>динара;</w:t>
      </w:r>
    </w:p>
    <w:p w14:paraId="7CD5CC14"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2285/99, површине 556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1.622.408</w:t>
      </w:r>
      <w:r>
        <w:rPr>
          <w:rFonts w:ascii="Times New Roman" w:hAnsi="Times New Roman"/>
          <w:sz w:val="24"/>
          <w:szCs w:val="24"/>
        </w:rPr>
        <w:t>,00</w:t>
      </w:r>
      <w:r>
        <w:rPr>
          <w:rFonts w:ascii="Times New Roman" w:hAnsi="Times New Roman"/>
          <w:sz w:val="24"/>
          <w:szCs w:val="24"/>
          <w:lang w:val="sr-Cyrl-RS"/>
        </w:rPr>
        <w:t>динара;</w:t>
      </w:r>
    </w:p>
    <w:p w14:paraId="310314B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2285/100, површине 583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1.701.194</w:t>
      </w:r>
      <w:r>
        <w:rPr>
          <w:rFonts w:ascii="Times New Roman" w:hAnsi="Times New Roman"/>
          <w:sz w:val="24"/>
          <w:szCs w:val="24"/>
        </w:rPr>
        <w:t>,00</w:t>
      </w:r>
      <w:r>
        <w:rPr>
          <w:rFonts w:ascii="Times New Roman" w:hAnsi="Times New Roman"/>
          <w:sz w:val="24"/>
          <w:szCs w:val="24"/>
          <w:lang w:val="sr-Cyrl-RS"/>
        </w:rPr>
        <w:t>динара;</w:t>
      </w:r>
    </w:p>
    <w:p w14:paraId="5E3EE7F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2285/101, површине 610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1.779.980</w:t>
      </w:r>
      <w:r>
        <w:rPr>
          <w:rFonts w:ascii="Times New Roman" w:hAnsi="Times New Roman"/>
          <w:sz w:val="24"/>
          <w:szCs w:val="24"/>
        </w:rPr>
        <w:t>,00</w:t>
      </w:r>
      <w:r>
        <w:rPr>
          <w:rFonts w:ascii="Times New Roman" w:hAnsi="Times New Roman"/>
          <w:sz w:val="24"/>
          <w:szCs w:val="24"/>
          <w:lang w:val="sr-Cyrl-RS"/>
        </w:rPr>
        <w:t>динара;</w:t>
      </w:r>
    </w:p>
    <w:p w14:paraId="2E565BCE"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2285/102, површине 637</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1.858.766</w:t>
      </w:r>
      <w:r>
        <w:rPr>
          <w:rFonts w:ascii="Times New Roman" w:hAnsi="Times New Roman"/>
          <w:sz w:val="24"/>
          <w:szCs w:val="24"/>
        </w:rPr>
        <w:t>,00</w:t>
      </w:r>
      <w:r>
        <w:rPr>
          <w:rFonts w:ascii="Times New Roman" w:hAnsi="Times New Roman"/>
          <w:sz w:val="24"/>
          <w:szCs w:val="24"/>
          <w:lang w:val="sr-Cyrl-RS"/>
        </w:rPr>
        <w:t>динара;</w:t>
      </w:r>
    </w:p>
    <w:p w14:paraId="420CBC96"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2285/103, површине 928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2.707.904</w:t>
      </w:r>
      <w:r>
        <w:rPr>
          <w:rFonts w:ascii="Times New Roman" w:hAnsi="Times New Roman"/>
          <w:sz w:val="24"/>
          <w:szCs w:val="24"/>
        </w:rPr>
        <w:t>,00</w:t>
      </w:r>
      <w:r>
        <w:rPr>
          <w:rFonts w:ascii="Times New Roman" w:hAnsi="Times New Roman"/>
          <w:sz w:val="24"/>
          <w:szCs w:val="24"/>
          <w:lang w:val="sr-Cyrl-RS"/>
        </w:rPr>
        <w:t>динара;</w:t>
      </w:r>
    </w:p>
    <w:p w14:paraId="7DAB9CA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2285/104, површине 874</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2.550.332,00динара;</w:t>
      </w:r>
    </w:p>
    <w:p w14:paraId="3BA5D4E3"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2285/105, површине 615</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1.794.570</w:t>
      </w:r>
      <w:r>
        <w:rPr>
          <w:rFonts w:ascii="Times New Roman" w:hAnsi="Times New Roman"/>
          <w:sz w:val="24"/>
          <w:szCs w:val="24"/>
        </w:rPr>
        <w:t>,00</w:t>
      </w:r>
      <w:r>
        <w:rPr>
          <w:rFonts w:ascii="Times New Roman" w:hAnsi="Times New Roman"/>
          <w:sz w:val="24"/>
          <w:szCs w:val="24"/>
          <w:lang w:val="sr-Cyrl-RS"/>
        </w:rPr>
        <w:t>динара;</w:t>
      </w:r>
    </w:p>
    <w:p w14:paraId="63E4EC0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2285/106, површине 599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1.747.882</w:t>
      </w:r>
      <w:r>
        <w:rPr>
          <w:rFonts w:ascii="Times New Roman" w:hAnsi="Times New Roman"/>
          <w:sz w:val="24"/>
          <w:szCs w:val="24"/>
        </w:rPr>
        <w:t>,00</w:t>
      </w:r>
      <w:r>
        <w:rPr>
          <w:rFonts w:ascii="Times New Roman" w:hAnsi="Times New Roman"/>
          <w:sz w:val="24"/>
          <w:szCs w:val="24"/>
          <w:lang w:val="sr-Cyrl-RS"/>
        </w:rPr>
        <w:t>динара;</w:t>
      </w:r>
    </w:p>
    <w:p w14:paraId="60404B3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2285/107, површине 583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1.701.194</w:t>
      </w:r>
      <w:r>
        <w:rPr>
          <w:rFonts w:ascii="Times New Roman" w:hAnsi="Times New Roman"/>
          <w:sz w:val="24"/>
          <w:szCs w:val="24"/>
        </w:rPr>
        <w:t>,00</w:t>
      </w:r>
      <w:r>
        <w:rPr>
          <w:rFonts w:ascii="Times New Roman" w:hAnsi="Times New Roman"/>
          <w:sz w:val="24"/>
          <w:szCs w:val="24"/>
          <w:lang w:val="sr-Cyrl-RS"/>
        </w:rPr>
        <w:t>динара;</w:t>
      </w:r>
    </w:p>
    <w:p w14:paraId="1D9197E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2285/108, површине 568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1.657.424</w:t>
      </w:r>
      <w:r>
        <w:rPr>
          <w:rFonts w:ascii="Times New Roman" w:hAnsi="Times New Roman"/>
          <w:sz w:val="24"/>
          <w:szCs w:val="24"/>
        </w:rPr>
        <w:t>,00</w:t>
      </w:r>
      <w:r>
        <w:rPr>
          <w:rFonts w:ascii="Times New Roman" w:hAnsi="Times New Roman"/>
          <w:sz w:val="24"/>
          <w:szCs w:val="24"/>
          <w:lang w:val="sr-Cyrl-RS"/>
        </w:rPr>
        <w:t>динара;</w:t>
      </w:r>
    </w:p>
    <w:p w14:paraId="757D517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2285/109, површине 552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1.610.736</w:t>
      </w:r>
      <w:r>
        <w:rPr>
          <w:rFonts w:ascii="Times New Roman" w:hAnsi="Times New Roman"/>
          <w:sz w:val="24"/>
          <w:szCs w:val="24"/>
        </w:rPr>
        <w:t>,00</w:t>
      </w:r>
      <w:r>
        <w:rPr>
          <w:rFonts w:ascii="Times New Roman" w:hAnsi="Times New Roman"/>
          <w:sz w:val="24"/>
          <w:szCs w:val="24"/>
          <w:lang w:val="sr-Cyrl-RS"/>
        </w:rPr>
        <w:t>динара;</w:t>
      </w:r>
    </w:p>
    <w:p w14:paraId="63ABD05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2285/110, површине 536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1.564.048</w:t>
      </w:r>
      <w:r>
        <w:rPr>
          <w:rFonts w:ascii="Times New Roman" w:hAnsi="Times New Roman"/>
          <w:sz w:val="24"/>
          <w:szCs w:val="24"/>
        </w:rPr>
        <w:t>,00</w:t>
      </w:r>
      <w:r>
        <w:rPr>
          <w:rFonts w:ascii="Times New Roman" w:hAnsi="Times New Roman"/>
          <w:sz w:val="24"/>
          <w:szCs w:val="24"/>
          <w:lang w:val="sr-Cyrl-RS"/>
        </w:rPr>
        <w:t>динара;</w:t>
      </w:r>
    </w:p>
    <w:p w14:paraId="5164B921"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2285/111, површине 520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1.517.360</w:t>
      </w:r>
      <w:r>
        <w:rPr>
          <w:rFonts w:ascii="Times New Roman" w:hAnsi="Times New Roman"/>
          <w:sz w:val="24"/>
          <w:szCs w:val="24"/>
        </w:rPr>
        <w:t>,00</w:t>
      </w:r>
      <w:r>
        <w:rPr>
          <w:rFonts w:ascii="Times New Roman" w:hAnsi="Times New Roman"/>
          <w:sz w:val="24"/>
          <w:szCs w:val="24"/>
          <w:lang w:val="sr-Cyrl-RS"/>
        </w:rPr>
        <w:t>динара;</w:t>
      </w:r>
    </w:p>
    <w:p w14:paraId="201EF5D1"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2285/112, површине 504</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1.470.672</w:t>
      </w:r>
      <w:r>
        <w:rPr>
          <w:rFonts w:ascii="Times New Roman" w:hAnsi="Times New Roman"/>
          <w:sz w:val="24"/>
          <w:szCs w:val="24"/>
        </w:rPr>
        <w:t>,00</w:t>
      </w:r>
      <w:r>
        <w:rPr>
          <w:rFonts w:ascii="Times New Roman" w:hAnsi="Times New Roman"/>
          <w:sz w:val="24"/>
          <w:szCs w:val="24"/>
          <w:lang w:val="sr-Cyrl-RS"/>
        </w:rPr>
        <w:t>динара;</w:t>
      </w:r>
    </w:p>
    <w:p w14:paraId="5EC909B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2285/113, површине 489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1.426.902</w:t>
      </w:r>
      <w:r>
        <w:rPr>
          <w:rFonts w:ascii="Times New Roman" w:hAnsi="Times New Roman"/>
          <w:sz w:val="24"/>
          <w:szCs w:val="24"/>
        </w:rPr>
        <w:t>,00</w:t>
      </w:r>
      <w:r>
        <w:rPr>
          <w:rFonts w:ascii="Times New Roman" w:hAnsi="Times New Roman"/>
          <w:sz w:val="24"/>
          <w:szCs w:val="24"/>
          <w:lang w:val="sr-Cyrl-RS"/>
        </w:rPr>
        <w:t>динара;</w:t>
      </w:r>
    </w:p>
    <w:p w14:paraId="6185E966"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2285/114, површине 466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1.359.788</w:t>
      </w:r>
      <w:r>
        <w:rPr>
          <w:rFonts w:ascii="Times New Roman" w:hAnsi="Times New Roman"/>
          <w:sz w:val="24"/>
          <w:szCs w:val="24"/>
        </w:rPr>
        <w:t>,00</w:t>
      </w:r>
      <w:r>
        <w:rPr>
          <w:rFonts w:ascii="Times New Roman" w:hAnsi="Times New Roman"/>
          <w:sz w:val="24"/>
          <w:szCs w:val="24"/>
          <w:lang w:val="sr-Cyrl-RS"/>
        </w:rPr>
        <w:t>динара.</w:t>
      </w:r>
    </w:p>
    <w:p w14:paraId="6957D1EF" w14:textId="77777777" w:rsidR="003B5CDE" w:rsidRDefault="003B5CDE" w:rsidP="003B5CDE">
      <w:pPr>
        <w:spacing w:after="0" w:line="240" w:lineRule="auto"/>
        <w:ind w:firstLine="540"/>
        <w:jc w:val="both"/>
        <w:rPr>
          <w:rFonts w:ascii="Times New Roman" w:hAnsi="Times New Roman"/>
          <w:sz w:val="24"/>
          <w:szCs w:val="24"/>
          <w:lang w:val="sr-Cyrl-RS"/>
        </w:rPr>
      </w:pPr>
    </w:p>
    <w:p w14:paraId="691D9C88" w14:textId="77777777" w:rsidR="003B5CDE" w:rsidRDefault="003B5CDE" w:rsidP="003B5CDE">
      <w:pPr>
        <w:spacing w:after="0" w:line="240" w:lineRule="auto"/>
        <w:ind w:firstLine="540"/>
        <w:jc w:val="both"/>
        <w:rPr>
          <w:rFonts w:ascii="Times New Roman" w:hAnsi="Times New Roman"/>
          <w:sz w:val="24"/>
          <w:szCs w:val="24"/>
          <w:lang w:val="sr-Cyrl-RS"/>
        </w:rPr>
      </w:pPr>
    </w:p>
    <w:p w14:paraId="300AFE06" w14:textId="77777777" w:rsidR="003B5CDE" w:rsidRDefault="003B5CDE" w:rsidP="003B5CDE">
      <w:pPr>
        <w:spacing w:after="0" w:line="240" w:lineRule="auto"/>
        <w:ind w:firstLine="540"/>
        <w:jc w:val="both"/>
        <w:rPr>
          <w:rFonts w:ascii="Times New Roman" w:hAnsi="Times New Roman"/>
          <w:sz w:val="24"/>
          <w:szCs w:val="24"/>
          <w:lang w:val="sr-Cyrl-RS"/>
        </w:rPr>
      </w:pPr>
    </w:p>
    <w:p w14:paraId="06DF2BDA" w14:textId="77777777" w:rsidR="00830CAE" w:rsidRDefault="00830CAE" w:rsidP="00830CAE">
      <w:pPr>
        <w:spacing w:after="0" w:line="240" w:lineRule="auto"/>
        <w:jc w:val="both"/>
        <w:rPr>
          <w:rFonts w:ascii="Times New Roman" w:hAnsi="Times New Roman"/>
          <w:sz w:val="24"/>
          <w:szCs w:val="24"/>
          <w:lang w:val="sr-Cyrl-CS"/>
        </w:rPr>
      </w:pPr>
    </w:p>
    <w:p w14:paraId="3AA210DA"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које је предмет отуђења може стећи понуђач који испуњава услове из члана 16 Одлуке о отуђењу и давању у закуп грађевинског земљишта у јавној својини општине Пећинци („Сл. лист општина Срема“, 18/18) и који прихвати услове овог огласа и понуди највиши износ.</w:t>
      </w:r>
    </w:p>
    <w:p w14:paraId="766D600C" w14:textId="77777777" w:rsidR="00830CAE" w:rsidRDefault="00830CAE" w:rsidP="00830CAE">
      <w:pPr>
        <w:spacing w:after="0" w:line="240" w:lineRule="auto"/>
        <w:ind w:firstLine="540"/>
        <w:jc w:val="both"/>
        <w:rPr>
          <w:rFonts w:ascii="Times New Roman" w:hAnsi="Times New Roman"/>
          <w:sz w:val="24"/>
          <w:szCs w:val="24"/>
          <w:lang w:val="sr-Cyrl-CS"/>
        </w:rPr>
      </w:pPr>
    </w:p>
    <w:p w14:paraId="5D0A98EE"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се даје у власништво.</w:t>
      </w:r>
    </w:p>
    <w:p w14:paraId="7A99C3F0" w14:textId="77777777" w:rsidR="00830CAE" w:rsidRDefault="00830CAE" w:rsidP="00830CAE">
      <w:pPr>
        <w:spacing w:after="0" w:line="240" w:lineRule="auto"/>
        <w:ind w:firstLine="540"/>
        <w:jc w:val="both"/>
        <w:rPr>
          <w:rFonts w:ascii="Times New Roman" w:hAnsi="Times New Roman"/>
          <w:sz w:val="24"/>
          <w:szCs w:val="24"/>
          <w:lang w:val="sr-Cyrl-CS"/>
        </w:rPr>
      </w:pPr>
    </w:p>
    <w:p w14:paraId="77FEDA73"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070F6F2F" w14:textId="77777777" w:rsidR="00830CAE" w:rsidRDefault="00830CAE" w:rsidP="00830CAE">
      <w:pPr>
        <w:spacing w:after="0" w:line="240" w:lineRule="auto"/>
        <w:ind w:firstLine="540"/>
        <w:jc w:val="both"/>
        <w:rPr>
          <w:rFonts w:ascii="Times New Roman" w:hAnsi="Times New Roman"/>
          <w:sz w:val="24"/>
          <w:szCs w:val="24"/>
          <w:lang w:val="sr-Cyrl-CS"/>
        </w:rPr>
      </w:pPr>
    </w:p>
    <w:p w14:paraId="762905DC" w14:textId="7CC009D1" w:rsidR="00830CAE" w:rsidRDefault="00830CAE" w:rsidP="00830CAE">
      <w:pPr>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(„Сл. лист општина Срема“, 18/18)  која до наведеног рока Јавном комуналном предузећу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Слободана Бајића 5, </w:t>
      </w:r>
      <w:r>
        <w:rPr>
          <w:rFonts w:ascii="Times New Roman" w:hAnsi="Times New Roman"/>
          <w:b/>
          <w:sz w:val="24"/>
          <w:szCs w:val="24"/>
          <w:u w:val="single"/>
          <w:lang w:val="sr-Cyrl-CS"/>
        </w:rPr>
        <w:t>пријаве учешће</w:t>
      </w:r>
      <w:r>
        <w:rPr>
          <w:rFonts w:ascii="Times New Roman" w:hAnsi="Times New Roman"/>
          <w:b/>
          <w:sz w:val="24"/>
          <w:szCs w:val="24"/>
          <w:lang w:val="sr-Cyrl-CS"/>
        </w:rPr>
        <w:t xml:space="preserve"> </w:t>
      </w:r>
      <w:r>
        <w:rPr>
          <w:rFonts w:ascii="Times New Roman" w:hAnsi="Times New Roman"/>
          <w:sz w:val="24"/>
          <w:szCs w:val="24"/>
          <w:lang w:val="sr-Cyrl-CS"/>
        </w:rPr>
        <w:t>на јавном надметању</w:t>
      </w:r>
      <w:r>
        <w:rPr>
          <w:rFonts w:ascii="Times New Roman" w:hAnsi="Times New Roman"/>
          <w:b/>
          <w:sz w:val="24"/>
          <w:szCs w:val="24"/>
          <w:lang w:val="sr-Cyrl-CS"/>
        </w:rPr>
        <w:t xml:space="preserve"> </w:t>
      </w:r>
      <w:r>
        <w:rPr>
          <w:rFonts w:ascii="Times New Roman" w:hAnsi="Times New Roman"/>
          <w:sz w:val="24"/>
          <w:szCs w:val="24"/>
          <w:lang w:val="sr-Cyrl-CS"/>
        </w:rPr>
        <w:t>и</w:t>
      </w:r>
      <w:r>
        <w:rPr>
          <w:rFonts w:ascii="Times New Roman" w:hAnsi="Times New Roman"/>
          <w:b/>
          <w:sz w:val="24"/>
          <w:szCs w:val="24"/>
          <w:lang w:val="sr-Cyrl-CS"/>
        </w:rPr>
        <w:t xml:space="preserve"> </w:t>
      </w:r>
      <w:r>
        <w:rPr>
          <w:rFonts w:ascii="Times New Roman" w:hAnsi="Times New Roman"/>
          <w:b/>
          <w:sz w:val="24"/>
          <w:szCs w:val="24"/>
          <w:u w:val="single"/>
          <w:lang w:val="sr-Cyrl-CS"/>
        </w:rPr>
        <w:t>уплате депозит у износу од 10% почетне цене за јавно надметање, за сваку парцелу посебно,</w:t>
      </w:r>
      <w:r>
        <w:rPr>
          <w:rFonts w:ascii="Times New Roman" w:hAnsi="Times New Roman"/>
          <w:b/>
          <w:sz w:val="24"/>
          <w:szCs w:val="24"/>
          <w:lang w:val="sr-Cyrl-CS"/>
        </w:rPr>
        <w:t xml:space="preserve"> </w:t>
      </w:r>
      <w:r>
        <w:rPr>
          <w:rFonts w:ascii="Times New Roman" w:hAnsi="Times New Roman"/>
          <w:sz w:val="24"/>
          <w:szCs w:val="24"/>
          <w:lang w:val="sr-Cyrl-CS"/>
        </w:rPr>
        <w:t xml:space="preserve">на текући рачун Депозита за лицитацију грађевинског земљишта број 840-1136804-42, са позивом на број </w:t>
      </w:r>
      <w:r w:rsidR="00CA783A">
        <w:rPr>
          <w:rFonts w:ascii="Times New Roman" w:hAnsi="Times New Roman"/>
          <w:sz w:val="24"/>
          <w:szCs w:val="24"/>
          <w:lang w:val="sr-Cyrl-CS"/>
        </w:rPr>
        <w:t>1322708763</w:t>
      </w:r>
      <w:r>
        <w:rPr>
          <w:rFonts w:ascii="Times New Roman" w:hAnsi="Times New Roman"/>
          <w:sz w:val="24"/>
          <w:szCs w:val="24"/>
          <w:lang w:val="sr-Cyrl-CS"/>
        </w:rPr>
        <w:t>, по моделу 97.</w:t>
      </w:r>
    </w:p>
    <w:p w14:paraId="1ED2B412" w14:textId="77777777" w:rsidR="00830CAE" w:rsidRDefault="00830CAE" w:rsidP="00830CAE">
      <w:pPr>
        <w:spacing w:after="0" w:line="240" w:lineRule="auto"/>
        <w:ind w:left="720"/>
        <w:jc w:val="both"/>
        <w:rPr>
          <w:rFonts w:ascii="Times New Roman" w:hAnsi="Times New Roman"/>
          <w:sz w:val="24"/>
          <w:szCs w:val="24"/>
          <w:lang w:val="sr-Cyrl-CS"/>
        </w:rPr>
      </w:pPr>
    </w:p>
    <w:p w14:paraId="1452E6CA"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Пријава мора да садржи:</w:t>
      </w:r>
    </w:p>
    <w:p w14:paraId="4B6C9B7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лица и предузетнике:</w:t>
      </w:r>
    </w:p>
    <w:p w14:paraId="2094F408" w14:textId="77777777" w:rsidR="00830CAE" w:rsidRDefault="00830CAE" w:rsidP="00830CAE">
      <w:pPr>
        <w:pStyle w:val="ListParagraph"/>
        <w:tabs>
          <w:tab w:val="left" w:pos="90"/>
          <w:tab w:val="left" w:pos="810"/>
          <w:tab w:val="left" w:pos="990"/>
        </w:tabs>
        <w:spacing w:after="0" w:line="240" w:lineRule="auto"/>
        <w:ind w:left="1350" w:hanging="180"/>
        <w:jc w:val="both"/>
        <w:rPr>
          <w:rFonts w:ascii="Times New Roman" w:hAnsi="Times New Roman"/>
          <w:sz w:val="24"/>
          <w:szCs w:val="24"/>
          <w:lang w:val="sr-Cyrl-CS"/>
        </w:rPr>
      </w:pPr>
      <w:r>
        <w:rPr>
          <w:rFonts w:ascii="Times New Roman" w:hAnsi="Times New Roman"/>
          <w:sz w:val="24"/>
          <w:szCs w:val="24"/>
          <w:lang w:val="sr-Cyrl-CS"/>
        </w:rPr>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0D629B8B"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физичка лица:</w:t>
      </w:r>
    </w:p>
    <w:p w14:paraId="1AF5E5A9"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име и презиме, адреса и матични број;</w:t>
      </w:r>
    </w:p>
    <w:p w14:paraId="667846C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и физичка лица:</w:t>
      </w:r>
    </w:p>
    <w:p w14:paraId="2F403DF3"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изјаву о прихватању услова овог огласа.</w:t>
      </w:r>
    </w:p>
    <w:p w14:paraId="4E955E34"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534BE34E"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Уз пријаву учесник је дужан да достави и:</w:t>
      </w:r>
    </w:p>
    <w:p w14:paraId="215C0F30"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доказ о уплаћеном гарантном износу, односно копију исправе о уплати депозита,</w:t>
      </w:r>
    </w:p>
    <w:p w14:paraId="63BF74D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овлашћење за заступање (уколико лице које потписује пријаву није законски заступник учесника)</w:t>
      </w:r>
    </w:p>
    <w:p w14:paraId="42F20BC3"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физичка лица,</w:t>
      </w:r>
    </w:p>
    <w:p w14:paraId="5AB9FF6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законског заступника као у за лице које је овлашћено за учешће на лицитацији, за правна лица,</w:t>
      </w:r>
    </w:p>
    <w:p w14:paraId="2C87B171"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w:t>
      </w:r>
      <w:r>
        <w:rPr>
          <w:rFonts w:ascii="Times New Roman" w:hAnsi="Times New Roman"/>
          <w:sz w:val="24"/>
          <w:szCs w:val="24"/>
          <w:lang w:val="sr-Cyrl-CS"/>
        </w:rPr>
        <w:tab/>
        <w:t>решење о упису у Регистар привредних субјеката или други одговарајући   регистар.</w:t>
      </w:r>
    </w:p>
    <w:p w14:paraId="6CAEF72B"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0F4D1287" w14:textId="19D1E441" w:rsidR="00830CAE" w:rsidRDefault="00830CAE" w:rsidP="00830CAE">
      <w:pPr>
        <w:tabs>
          <w:tab w:val="left" w:pos="90"/>
        </w:tabs>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Рок за достављање пријава и припадајуће документације је </w:t>
      </w:r>
      <w:r>
        <w:rPr>
          <w:rFonts w:ascii="Times New Roman" w:hAnsi="Times New Roman"/>
          <w:b/>
          <w:sz w:val="24"/>
          <w:szCs w:val="24"/>
          <w:lang w:val="sr-Cyrl-CS"/>
        </w:rPr>
        <w:t>30 дана од дана јавног објављивања огласа у</w:t>
      </w:r>
      <w:r>
        <w:rPr>
          <w:rFonts w:ascii="Times New Roman" w:hAnsi="Times New Roman"/>
          <w:b/>
          <w:sz w:val="24"/>
          <w:szCs w:val="24"/>
          <w:lang w:val="ru-RU"/>
        </w:rPr>
        <w:t xml:space="preserve"> </w:t>
      </w:r>
      <w:r>
        <w:rPr>
          <w:rFonts w:ascii="Times New Roman" w:hAnsi="Times New Roman"/>
          <w:b/>
          <w:sz w:val="24"/>
          <w:szCs w:val="24"/>
          <w:lang w:val="sr-Cyrl-RS"/>
        </w:rPr>
        <w:t xml:space="preserve">средствима јавног информисања и </w:t>
      </w:r>
      <w:r>
        <w:rPr>
          <w:rFonts w:ascii="Times New Roman" w:hAnsi="Times New Roman"/>
          <w:b/>
          <w:sz w:val="24"/>
          <w:szCs w:val="24"/>
          <w:lang w:val="sr-Cyrl-CS"/>
        </w:rPr>
        <w:t xml:space="preserve">на интернет страници општине Пећинци </w:t>
      </w:r>
      <w:hyperlink r:id="rId5" w:history="1">
        <w:r>
          <w:rPr>
            <w:rStyle w:val="Hyperlink"/>
            <w:rFonts w:ascii="Times New Roman" w:eastAsiaTheme="majorEastAsia" w:hAnsi="Times New Roman"/>
            <w:b/>
            <w:sz w:val="24"/>
            <w:szCs w:val="24"/>
          </w:rPr>
          <w:t>www</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pecinci</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org</w:t>
        </w:r>
      </w:hyperlink>
      <w:r>
        <w:rPr>
          <w:rFonts w:ascii="Times New Roman" w:hAnsi="Times New Roman"/>
          <w:sz w:val="24"/>
          <w:szCs w:val="24"/>
          <w:lang w:val="ru-RU"/>
        </w:rPr>
        <w:t xml:space="preserve">, </w:t>
      </w:r>
      <w:r>
        <w:rPr>
          <w:rFonts w:ascii="Times New Roman" w:hAnsi="Times New Roman"/>
          <w:sz w:val="24"/>
          <w:szCs w:val="24"/>
          <w:lang w:val="sr-Cyrl-CS"/>
        </w:rPr>
        <w:t xml:space="preserve">односно </w:t>
      </w:r>
      <w:r>
        <w:rPr>
          <w:rFonts w:ascii="Times New Roman" w:hAnsi="Times New Roman"/>
          <w:b/>
          <w:sz w:val="24"/>
          <w:szCs w:val="24"/>
          <w:lang w:val="sr-Cyrl-CS"/>
        </w:rPr>
        <w:t xml:space="preserve">до </w:t>
      </w:r>
      <w:r w:rsidR="000710AA">
        <w:rPr>
          <w:rFonts w:ascii="Times New Roman" w:hAnsi="Times New Roman"/>
          <w:b/>
          <w:sz w:val="24"/>
          <w:szCs w:val="24"/>
          <w:lang w:val="sr-Cyrl-RS"/>
        </w:rPr>
        <w:t>26.12</w:t>
      </w:r>
      <w:r w:rsidR="00EE62F1">
        <w:rPr>
          <w:rFonts w:ascii="Times New Roman" w:hAnsi="Times New Roman"/>
          <w:b/>
          <w:sz w:val="24"/>
          <w:szCs w:val="24"/>
          <w:lang w:val="sr-Cyrl-RS"/>
        </w:rPr>
        <w:t>.</w:t>
      </w:r>
      <w:r w:rsidR="00C05C87">
        <w:rPr>
          <w:rFonts w:ascii="Times New Roman" w:hAnsi="Times New Roman"/>
          <w:b/>
          <w:sz w:val="24"/>
          <w:szCs w:val="24"/>
        </w:rPr>
        <w:t>2025.</w:t>
      </w:r>
      <w:r>
        <w:rPr>
          <w:rFonts w:ascii="Times New Roman" w:hAnsi="Times New Roman"/>
          <w:b/>
          <w:sz w:val="24"/>
          <w:szCs w:val="24"/>
          <w:lang w:val="sr-Cyrl-CS"/>
        </w:rPr>
        <w:t xml:space="preserve">године у </w:t>
      </w:r>
      <w:r w:rsidR="00C87AD8">
        <w:rPr>
          <w:rFonts w:ascii="Times New Roman" w:hAnsi="Times New Roman"/>
          <w:b/>
          <w:sz w:val="24"/>
          <w:szCs w:val="24"/>
          <w:lang w:val="sr-Cyrl-CS"/>
        </w:rPr>
        <w:t>10</w:t>
      </w:r>
      <w:r>
        <w:rPr>
          <w:rFonts w:ascii="Times New Roman" w:hAnsi="Times New Roman"/>
          <w:b/>
          <w:sz w:val="24"/>
          <w:szCs w:val="24"/>
          <w:lang w:val="sr-Cyrl-CS"/>
        </w:rPr>
        <w:t>:00 часова.</w:t>
      </w:r>
    </w:p>
    <w:p w14:paraId="1ACC79B8" w14:textId="77777777" w:rsidR="00830CAE" w:rsidRDefault="00830CAE" w:rsidP="00830CAE">
      <w:pPr>
        <w:tabs>
          <w:tab w:val="left" w:pos="90"/>
        </w:tabs>
        <w:spacing w:after="0" w:line="240" w:lineRule="auto"/>
        <w:ind w:firstLine="540"/>
        <w:jc w:val="both"/>
        <w:rPr>
          <w:rFonts w:ascii="Times New Roman" w:hAnsi="Times New Roman"/>
          <w:b/>
          <w:sz w:val="24"/>
          <w:szCs w:val="24"/>
          <w:lang w:val="sr-Cyrl-CS"/>
        </w:rPr>
      </w:pPr>
    </w:p>
    <w:p w14:paraId="316655EC"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3DFAFC8D"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0B78171"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Учесник који не поступи по захтеву Комисије, губи право учешћа у јавном надметању.</w:t>
      </w:r>
    </w:p>
    <w:p w14:paraId="7AEDAC2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0AF362A4"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Општинског већа општине Пећинци о отуђењу грађевинског земљишта не приступи закључењу Уговора о отуђењу, нема право на повраћај гарантног износа.</w:t>
      </w:r>
    </w:p>
    <w:p w14:paraId="361BDF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667A9D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Поступак јавног надметања спровешће Комисија за спровођење поступка располагања грађевинским земљиштем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w:t>
      </w:r>
    </w:p>
    <w:p w14:paraId="31EAF89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1E508DA2"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Понуђач који да најповољнију понуду дужан је да у року од 30 дана од дана правоснажности Решења Општинског већа општине Пећинци о отуђењу грађевинског земљишта закључи Уговор о отуђењу, односно купопродаји грађевинског земљишта. </w:t>
      </w:r>
      <w:r>
        <w:rPr>
          <w:rFonts w:ascii="Times New Roman" w:hAnsi="Times New Roman"/>
          <w:sz w:val="24"/>
          <w:szCs w:val="24"/>
          <w:lang w:val="sr-Cyrl-CS"/>
        </w:rPr>
        <w:lastRenderedPageBreak/>
        <w:t>Уколико у овом року понуђач који да најповољнију понуду не приступи закључењу Уговор о отуђењу, Решење о отуђењу ће бити стављено ван снаге.</w:t>
      </w:r>
    </w:p>
    <w:p w14:paraId="1356373A"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D916876"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7E61602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78B226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6589A16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4DDC0003" w14:textId="7F23B4B6" w:rsidR="00EE62F1" w:rsidRDefault="00EE62F1" w:rsidP="00EE62F1">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Јавно надметање ће бити одржано у просторијама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улица Слободана Бајића 5, Пећинци</w:t>
      </w:r>
      <w:r>
        <w:rPr>
          <w:rFonts w:ascii="Times New Roman" w:hAnsi="Times New Roman"/>
          <w:sz w:val="24"/>
          <w:szCs w:val="24"/>
          <w:lang w:val="sr-Cyrl-RS"/>
        </w:rPr>
        <w:t xml:space="preserve">  </w:t>
      </w:r>
      <w:r>
        <w:rPr>
          <w:rFonts w:ascii="Times New Roman" w:hAnsi="Times New Roman"/>
          <w:sz w:val="24"/>
          <w:szCs w:val="24"/>
          <w:lang w:val="sr-Cyrl-CS"/>
        </w:rPr>
        <w:t>дана</w:t>
      </w:r>
      <w:r>
        <w:rPr>
          <w:rFonts w:ascii="Times New Roman" w:hAnsi="Times New Roman"/>
          <w:b/>
          <w:sz w:val="24"/>
          <w:szCs w:val="24"/>
          <w:lang w:val="sr-Cyrl-RS"/>
        </w:rPr>
        <w:t xml:space="preserve"> </w:t>
      </w:r>
      <w:r w:rsidR="000710AA">
        <w:rPr>
          <w:rFonts w:ascii="Times New Roman" w:hAnsi="Times New Roman"/>
          <w:b/>
          <w:sz w:val="24"/>
          <w:szCs w:val="24"/>
          <w:lang w:val="sr-Cyrl-RS"/>
        </w:rPr>
        <w:t>26.12</w:t>
      </w:r>
      <w:r>
        <w:rPr>
          <w:rFonts w:ascii="Times New Roman" w:hAnsi="Times New Roman"/>
          <w:b/>
          <w:sz w:val="24"/>
          <w:szCs w:val="24"/>
        </w:rPr>
        <w:t>.2025.</w:t>
      </w:r>
      <w:r>
        <w:rPr>
          <w:rFonts w:ascii="Times New Roman" w:hAnsi="Times New Roman"/>
          <w:sz w:val="24"/>
          <w:szCs w:val="24"/>
          <w:lang w:val="sr-Cyrl-CS"/>
        </w:rPr>
        <w:t xml:space="preserve">године </w:t>
      </w:r>
      <w:bookmarkStart w:id="2" w:name="_Hlk198203307"/>
      <w:r>
        <w:rPr>
          <w:rFonts w:ascii="Times New Roman" w:hAnsi="Times New Roman"/>
          <w:sz w:val="24"/>
          <w:szCs w:val="24"/>
          <w:lang w:val="sr-Cyrl-CS"/>
        </w:rPr>
        <w:t>за парцеле: од 2285/</w:t>
      </w:r>
      <w:r>
        <w:rPr>
          <w:rFonts w:ascii="Times New Roman" w:hAnsi="Times New Roman"/>
          <w:sz w:val="24"/>
          <w:szCs w:val="24"/>
          <w:lang w:val="sr-Cyrl-RS"/>
        </w:rPr>
        <w:t>28</w:t>
      </w:r>
      <w:r>
        <w:rPr>
          <w:rFonts w:ascii="Times New Roman" w:hAnsi="Times New Roman"/>
          <w:sz w:val="24"/>
          <w:szCs w:val="24"/>
          <w:lang w:val="sr-Cyrl-CS"/>
        </w:rPr>
        <w:t xml:space="preserve"> до 2285/</w:t>
      </w:r>
      <w:r w:rsidR="000E3B13">
        <w:rPr>
          <w:rFonts w:ascii="Times New Roman" w:hAnsi="Times New Roman"/>
          <w:sz w:val="24"/>
          <w:szCs w:val="24"/>
          <w:lang w:val="sr-Cyrl-RS"/>
        </w:rPr>
        <w:t>5</w:t>
      </w:r>
      <w:r>
        <w:rPr>
          <w:rFonts w:ascii="Times New Roman" w:hAnsi="Times New Roman"/>
          <w:sz w:val="24"/>
          <w:szCs w:val="24"/>
          <w:lang w:val="sr-Cyrl-RS"/>
        </w:rPr>
        <w:t xml:space="preserve">8 </w:t>
      </w:r>
      <w:r>
        <w:rPr>
          <w:rFonts w:ascii="Times New Roman" w:hAnsi="Times New Roman"/>
          <w:sz w:val="24"/>
          <w:szCs w:val="24"/>
          <w:lang w:val="sr-Cyrl-CS"/>
        </w:rPr>
        <w:t xml:space="preserve">у </w:t>
      </w:r>
      <w:r>
        <w:rPr>
          <w:rFonts w:ascii="Times New Roman" w:hAnsi="Times New Roman"/>
          <w:b/>
          <w:sz w:val="24"/>
          <w:szCs w:val="24"/>
          <w:lang w:val="sr-Cyrl-CS"/>
        </w:rPr>
        <w:t>1</w:t>
      </w:r>
      <w:r>
        <w:rPr>
          <w:rFonts w:ascii="Times New Roman" w:hAnsi="Times New Roman"/>
          <w:b/>
          <w:sz w:val="24"/>
          <w:szCs w:val="24"/>
        </w:rPr>
        <w:t>1</w:t>
      </w:r>
      <w:r>
        <w:rPr>
          <w:rFonts w:ascii="Times New Roman" w:hAnsi="Times New Roman"/>
          <w:b/>
          <w:sz w:val="24"/>
          <w:szCs w:val="24"/>
          <w:lang w:val="sr-Cyrl-CS"/>
        </w:rPr>
        <w:t>:00</w:t>
      </w:r>
      <w:r>
        <w:rPr>
          <w:rFonts w:ascii="Times New Roman" w:hAnsi="Times New Roman"/>
          <w:sz w:val="24"/>
          <w:szCs w:val="24"/>
          <w:lang w:val="sr-Cyrl-CS"/>
        </w:rPr>
        <w:t xml:space="preserve"> часова</w:t>
      </w:r>
      <w:bookmarkEnd w:id="2"/>
      <w:r>
        <w:rPr>
          <w:rFonts w:ascii="Times New Roman" w:hAnsi="Times New Roman"/>
          <w:sz w:val="24"/>
          <w:szCs w:val="24"/>
          <w:lang w:val="sr-Cyrl-CS"/>
        </w:rPr>
        <w:t xml:space="preserve">, за парцеле: </w:t>
      </w:r>
      <w:r>
        <w:rPr>
          <w:rFonts w:ascii="Times New Roman" w:hAnsi="Times New Roman"/>
          <w:sz w:val="24"/>
          <w:szCs w:val="24"/>
          <w:lang w:val="sr-Cyrl-RS"/>
        </w:rPr>
        <w:t>од 2285/5</w:t>
      </w:r>
      <w:r w:rsidR="000E3B13">
        <w:rPr>
          <w:rFonts w:ascii="Times New Roman" w:hAnsi="Times New Roman"/>
          <w:sz w:val="24"/>
          <w:szCs w:val="24"/>
          <w:lang w:val="sr-Cyrl-RS"/>
        </w:rPr>
        <w:t>9</w:t>
      </w:r>
      <w:r>
        <w:rPr>
          <w:rFonts w:ascii="Times New Roman" w:hAnsi="Times New Roman"/>
          <w:sz w:val="24"/>
          <w:szCs w:val="24"/>
          <w:lang w:val="sr-Cyrl-RS"/>
        </w:rPr>
        <w:t xml:space="preserve"> до 2285/</w:t>
      </w:r>
      <w:r w:rsidR="000E3B13">
        <w:rPr>
          <w:rFonts w:ascii="Times New Roman" w:hAnsi="Times New Roman"/>
          <w:sz w:val="24"/>
          <w:szCs w:val="24"/>
          <w:lang w:val="sr-Cyrl-RS"/>
        </w:rPr>
        <w:t>79</w:t>
      </w:r>
      <w:r>
        <w:rPr>
          <w:rFonts w:ascii="Times New Roman" w:hAnsi="Times New Roman"/>
          <w:sz w:val="24"/>
          <w:szCs w:val="24"/>
          <w:lang w:val="sr-Cyrl-CS"/>
        </w:rPr>
        <w:t xml:space="preserve"> у </w:t>
      </w:r>
      <w:r>
        <w:rPr>
          <w:rFonts w:ascii="Times New Roman" w:hAnsi="Times New Roman"/>
          <w:b/>
          <w:sz w:val="24"/>
          <w:szCs w:val="24"/>
          <w:lang w:val="sr-Cyrl-CS"/>
        </w:rPr>
        <w:t>1</w:t>
      </w:r>
      <w:r w:rsidR="000E3B13">
        <w:rPr>
          <w:rFonts w:ascii="Times New Roman" w:hAnsi="Times New Roman"/>
          <w:b/>
          <w:sz w:val="24"/>
          <w:szCs w:val="24"/>
          <w:lang w:val="sr-Cyrl-RS"/>
        </w:rPr>
        <w:t>3</w:t>
      </w:r>
      <w:r>
        <w:rPr>
          <w:rFonts w:ascii="Times New Roman" w:hAnsi="Times New Roman"/>
          <w:b/>
          <w:sz w:val="24"/>
          <w:szCs w:val="24"/>
          <w:lang w:val="sr-Cyrl-CS"/>
        </w:rPr>
        <w:t>:00</w:t>
      </w:r>
      <w:r>
        <w:rPr>
          <w:rFonts w:ascii="Times New Roman" w:hAnsi="Times New Roman"/>
          <w:sz w:val="24"/>
          <w:szCs w:val="24"/>
          <w:lang w:val="sr-Cyrl-CS"/>
        </w:rPr>
        <w:t xml:space="preserve"> часова</w:t>
      </w:r>
      <w:bookmarkStart w:id="3" w:name="_Hlk198203629"/>
      <w:r>
        <w:rPr>
          <w:rFonts w:ascii="Times New Roman" w:hAnsi="Times New Roman"/>
          <w:sz w:val="24"/>
          <w:szCs w:val="24"/>
          <w:lang w:val="sr-Cyrl-RS"/>
        </w:rPr>
        <w:t>,</w:t>
      </w:r>
      <w:r>
        <w:rPr>
          <w:rFonts w:ascii="Times New Roman" w:hAnsi="Times New Roman"/>
          <w:sz w:val="24"/>
          <w:szCs w:val="24"/>
          <w:lang w:val="sr-Cyrl-CS"/>
        </w:rPr>
        <w:t xml:space="preserve"> за парцеле: од 2285/</w:t>
      </w:r>
      <w:r w:rsidR="000E3B13">
        <w:rPr>
          <w:rFonts w:ascii="Times New Roman" w:hAnsi="Times New Roman"/>
          <w:sz w:val="24"/>
          <w:szCs w:val="24"/>
          <w:lang w:val="sr-Cyrl-RS"/>
        </w:rPr>
        <w:t>80</w:t>
      </w:r>
      <w:r>
        <w:rPr>
          <w:rFonts w:ascii="Times New Roman" w:hAnsi="Times New Roman"/>
          <w:sz w:val="24"/>
          <w:szCs w:val="24"/>
          <w:lang w:val="sr-Cyrl-CS"/>
        </w:rPr>
        <w:t xml:space="preserve"> до 2285/</w:t>
      </w:r>
      <w:r w:rsidR="000E3B13">
        <w:rPr>
          <w:rFonts w:ascii="Times New Roman" w:hAnsi="Times New Roman"/>
          <w:sz w:val="24"/>
          <w:szCs w:val="24"/>
          <w:lang w:val="sr-Cyrl-RS"/>
        </w:rPr>
        <w:t>99</w:t>
      </w:r>
      <w:r>
        <w:rPr>
          <w:rFonts w:ascii="Times New Roman" w:hAnsi="Times New Roman"/>
          <w:sz w:val="24"/>
          <w:szCs w:val="24"/>
          <w:lang w:val="sr-Cyrl-RS"/>
        </w:rPr>
        <w:t xml:space="preserve"> </w:t>
      </w:r>
      <w:r>
        <w:rPr>
          <w:rFonts w:ascii="Times New Roman" w:hAnsi="Times New Roman"/>
          <w:sz w:val="24"/>
          <w:szCs w:val="24"/>
          <w:lang w:val="sr-Cyrl-CS"/>
        </w:rPr>
        <w:t xml:space="preserve">у </w:t>
      </w:r>
      <w:r>
        <w:rPr>
          <w:rFonts w:ascii="Times New Roman" w:hAnsi="Times New Roman"/>
          <w:b/>
          <w:sz w:val="24"/>
          <w:szCs w:val="24"/>
          <w:lang w:val="sr-Cyrl-CS"/>
        </w:rPr>
        <w:t>1</w:t>
      </w:r>
      <w:r w:rsidR="000E3B13">
        <w:rPr>
          <w:rFonts w:ascii="Times New Roman" w:hAnsi="Times New Roman"/>
          <w:b/>
          <w:sz w:val="24"/>
          <w:szCs w:val="24"/>
          <w:lang w:val="sr-Cyrl-CS"/>
        </w:rPr>
        <w:t>4</w:t>
      </w:r>
      <w:r>
        <w:rPr>
          <w:rFonts w:ascii="Times New Roman" w:hAnsi="Times New Roman"/>
          <w:b/>
          <w:sz w:val="24"/>
          <w:szCs w:val="24"/>
          <w:lang w:val="sr-Cyrl-CS"/>
        </w:rPr>
        <w:t>:00</w:t>
      </w:r>
      <w:r>
        <w:rPr>
          <w:rFonts w:ascii="Times New Roman" w:hAnsi="Times New Roman"/>
          <w:sz w:val="24"/>
          <w:szCs w:val="24"/>
          <w:lang w:val="sr-Cyrl-CS"/>
        </w:rPr>
        <w:t xml:space="preserve"> часова, за парцеле: 2285/</w:t>
      </w:r>
      <w:r w:rsidR="000E3B13">
        <w:rPr>
          <w:rFonts w:ascii="Times New Roman" w:hAnsi="Times New Roman"/>
          <w:sz w:val="24"/>
          <w:szCs w:val="24"/>
          <w:lang w:val="sr-Cyrl-CS"/>
        </w:rPr>
        <w:t>100</w:t>
      </w:r>
      <w:r>
        <w:rPr>
          <w:rFonts w:ascii="Times New Roman" w:hAnsi="Times New Roman"/>
          <w:sz w:val="24"/>
          <w:szCs w:val="24"/>
          <w:lang w:val="sr-Cyrl-CS"/>
        </w:rPr>
        <w:t xml:space="preserve"> до 2285/</w:t>
      </w:r>
      <w:r w:rsidR="000E3B13">
        <w:rPr>
          <w:rFonts w:ascii="Times New Roman" w:hAnsi="Times New Roman"/>
          <w:sz w:val="24"/>
          <w:szCs w:val="24"/>
          <w:lang w:val="sr-Cyrl-CS"/>
        </w:rPr>
        <w:t>114</w:t>
      </w:r>
      <w:r>
        <w:rPr>
          <w:rFonts w:ascii="Times New Roman" w:hAnsi="Times New Roman"/>
          <w:sz w:val="24"/>
          <w:szCs w:val="24"/>
          <w:lang w:val="sr-Cyrl-CS"/>
        </w:rPr>
        <w:t xml:space="preserve"> у </w:t>
      </w:r>
      <w:r>
        <w:rPr>
          <w:rFonts w:ascii="Times New Roman" w:hAnsi="Times New Roman"/>
          <w:b/>
          <w:bCs/>
          <w:sz w:val="24"/>
          <w:szCs w:val="24"/>
          <w:lang w:val="sr-Cyrl-CS"/>
        </w:rPr>
        <w:t>1</w:t>
      </w:r>
      <w:r w:rsidR="000E3B13">
        <w:rPr>
          <w:rFonts w:ascii="Times New Roman" w:hAnsi="Times New Roman"/>
          <w:b/>
          <w:bCs/>
          <w:sz w:val="24"/>
          <w:szCs w:val="24"/>
          <w:lang w:val="sr-Cyrl-CS"/>
        </w:rPr>
        <w:t>5</w:t>
      </w:r>
      <w:r>
        <w:rPr>
          <w:rFonts w:ascii="Times New Roman" w:hAnsi="Times New Roman"/>
          <w:b/>
          <w:bCs/>
          <w:sz w:val="24"/>
          <w:szCs w:val="24"/>
          <w:lang w:val="sr-Cyrl-CS"/>
        </w:rPr>
        <w:t xml:space="preserve">:00 </w:t>
      </w:r>
      <w:r>
        <w:rPr>
          <w:rFonts w:ascii="Times New Roman" w:hAnsi="Times New Roman"/>
          <w:sz w:val="24"/>
          <w:szCs w:val="24"/>
          <w:lang w:val="sr-Cyrl-CS"/>
        </w:rPr>
        <w:t>часова</w:t>
      </w:r>
      <w:bookmarkEnd w:id="3"/>
      <w:r w:rsidR="000E3B13">
        <w:rPr>
          <w:rFonts w:ascii="Times New Roman" w:hAnsi="Times New Roman"/>
          <w:sz w:val="24"/>
          <w:szCs w:val="24"/>
          <w:lang w:val="sr-Cyrl-CS"/>
        </w:rPr>
        <w:t>.</w:t>
      </w:r>
    </w:p>
    <w:p w14:paraId="77365EDD" w14:textId="300BF15C" w:rsidR="00CA783A" w:rsidRDefault="00CA783A" w:rsidP="00CA783A">
      <w:pPr>
        <w:tabs>
          <w:tab w:val="left" w:pos="90"/>
        </w:tabs>
        <w:spacing w:after="0" w:line="240" w:lineRule="auto"/>
        <w:ind w:firstLine="540"/>
        <w:jc w:val="both"/>
        <w:rPr>
          <w:rFonts w:ascii="Times New Roman" w:hAnsi="Times New Roman"/>
          <w:sz w:val="24"/>
          <w:szCs w:val="24"/>
          <w:lang w:val="sr-Cyrl-CS"/>
        </w:rPr>
      </w:pPr>
    </w:p>
    <w:p w14:paraId="6C020ABD" w14:textId="7BE23D11" w:rsidR="00830CAE" w:rsidRPr="00BC1C7C" w:rsidRDefault="00830CAE" w:rsidP="00830CAE">
      <w:pPr>
        <w:tabs>
          <w:tab w:val="left" w:pos="90"/>
        </w:tabs>
        <w:spacing w:after="0" w:line="240" w:lineRule="auto"/>
        <w:ind w:firstLine="540"/>
        <w:jc w:val="both"/>
        <w:rPr>
          <w:rFonts w:ascii="Times New Roman" w:hAnsi="Times New Roman"/>
          <w:sz w:val="24"/>
          <w:szCs w:val="24"/>
          <w:lang w:val="sr-Cyrl-RS"/>
        </w:rPr>
      </w:pPr>
    </w:p>
    <w:p w14:paraId="288FD89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317511DE" w14:textId="6F46FDFA"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За све додатне информације обратити се на телефон 022/400-7</w:t>
      </w:r>
      <w:r w:rsidR="00927791">
        <w:rPr>
          <w:rFonts w:ascii="Times New Roman" w:hAnsi="Times New Roman"/>
          <w:sz w:val="24"/>
          <w:szCs w:val="24"/>
          <w:lang w:val="sr-Cyrl-CS"/>
        </w:rPr>
        <w:t>49</w:t>
      </w:r>
      <w:r>
        <w:rPr>
          <w:rFonts w:ascii="Times New Roman" w:hAnsi="Times New Roman"/>
          <w:sz w:val="24"/>
          <w:szCs w:val="24"/>
          <w:lang w:val="sr-Cyrl-CS"/>
        </w:rPr>
        <w:t xml:space="preserve"> или путем мејла на </w:t>
      </w:r>
      <w:r>
        <w:rPr>
          <w:rFonts w:ascii="Times New Roman" w:hAnsi="Times New Roman"/>
          <w:sz w:val="24"/>
          <w:szCs w:val="24"/>
        </w:rPr>
        <w:t>direkcija</w:t>
      </w:r>
      <w:r>
        <w:rPr>
          <w:rFonts w:ascii="Times New Roman" w:hAnsi="Times New Roman"/>
          <w:sz w:val="24"/>
          <w:szCs w:val="24"/>
          <w:lang w:val="ru-RU"/>
        </w:rPr>
        <w:t>@</w:t>
      </w:r>
      <w:r>
        <w:rPr>
          <w:rFonts w:ascii="Times New Roman" w:hAnsi="Times New Roman"/>
          <w:sz w:val="24"/>
          <w:szCs w:val="24"/>
        </w:rPr>
        <w:t>pecinci</w:t>
      </w:r>
      <w:r>
        <w:rPr>
          <w:rFonts w:ascii="Times New Roman" w:hAnsi="Times New Roman"/>
          <w:sz w:val="24"/>
          <w:szCs w:val="24"/>
          <w:lang w:val="ru-RU"/>
        </w:rPr>
        <w:t>.</w:t>
      </w:r>
      <w:r>
        <w:rPr>
          <w:rFonts w:ascii="Times New Roman" w:hAnsi="Times New Roman"/>
          <w:sz w:val="24"/>
          <w:szCs w:val="24"/>
        </w:rPr>
        <w:t>org</w:t>
      </w:r>
      <w:r>
        <w:rPr>
          <w:rFonts w:ascii="Times New Roman" w:hAnsi="Times New Roman"/>
          <w:sz w:val="24"/>
          <w:szCs w:val="24"/>
          <w:lang w:val="sr-Cyrl-CS"/>
        </w:rPr>
        <w:t>.</w:t>
      </w:r>
    </w:p>
    <w:p w14:paraId="3194CD65" w14:textId="77777777" w:rsidR="00BE40D8" w:rsidRDefault="00BE40D8"/>
    <w:sectPr w:rsidR="00BE4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2016"/>
    <w:multiLevelType w:val="hybridMultilevel"/>
    <w:tmpl w:val="2A66FF60"/>
    <w:lvl w:ilvl="0" w:tplc="3E3857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79711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AE"/>
    <w:rsid w:val="00030ACA"/>
    <w:rsid w:val="00055407"/>
    <w:rsid w:val="000710AA"/>
    <w:rsid w:val="000D1D1C"/>
    <w:rsid w:val="000E3B13"/>
    <w:rsid w:val="001A37FE"/>
    <w:rsid w:val="002639B5"/>
    <w:rsid w:val="00346570"/>
    <w:rsid w:val="003B5CDE"/>
    <w:rsid w:val="004A7A47"/>
    <w:rsid w:val="004E3607"/>
    <w:rsid w:val="00600828"/>
    <w:rsid w:val="006071A7"/>
    <w:rsid w:val="006B2CD8"/>
    <w:rsid w:val="007D2E1B"/>
    <w:rsid w:val="007F138E"/>
    <w:rsid w:val="00830CAE"/>
    <w:rsid w:val="00927791"/>
    <w:rsid w:val="00933E63"/>
    <w:rsid w:val="009D60AD"/>
    <w:rsid w:val="00AB4793"/>
    <w:rsid w:val="00AE4460"/>
    <w:rsid w:val="00B03F14"/>
    <w:rsid w:val="00B7231E"/>
    <w:rsid w:val="00B746C0"/>
    <w:rsid w:val="00BC1C7C"/>
    <w:rsid w:val="00BE40D8"/>
    <w:rsid w:val="00C05C87"/>
    <w:rsid w:val="00C314C5"/>
    <w:rsid w:val="00C4278A"/>
    <w:rsid w:val="00C65AF0"/>
    <w:rsid w:val="00C87AD8"/>
    <w:rsid w:val="00CA783A"/>
    <w:rsid w:val="00D300D6"/>
    <w:rsid w:val="00DF51B5"/>
    <w:rsid w:val="00E85F10"/>
    <w:rsid w:val="00EA1765"/>
    <w:rsid w:val="00EE62F1"/>
    <w:rsid w:val="00FD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8D62"/>
  <w15:chartTrackingRefBased/>
  <w15:docId w15:val="{96DD3020-81BD-47C0-AA32-93782AA2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AE"/>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3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CAE"/>
    <w:rPr>
      <w:rFonts w:eastAsiaTheme="majorEastAsia" w:cstheme="majorBidi"/>
      <w:color w:val="272727" w:themeColor="text1" w:themeTint="D8"/>
    </w:rPr>
  </w:style>
  <w:style w:type="paragraph" w:styleId="Title">
    <w:name w:val="Title"/>
    <w:basedOn w:val="Normal"/>
    <w:next w:val="Normal"/>
    <w:link w:val="TitleChar"/>
    <w:uiPriority w:val="10"/>
    <w:qFormat/>
    <w:rsid w:val="0083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CAE"/>
    <w:pPr>
      <w:spacing w:before="160"/>
      <w:jc w:val="center"/>
    </w:pPr>
    <w:rPr>
      <w:i/>
      <w:iCs/>
      <w:color w:val="404040" w:themeColor="text1" w:themeTint="BF"/>
    </w:rPr>
  </w:style>
  <w:style w:type="character" w:customStyle="1" w:styleId="QuoteChar">
    <w:name w:val="Quote Char"/>
    <w:basedOn w:val="DefaultParagraphFont"/>
    <w:link w:val="Quote"/>
    <w:uiPriority w:val="29"/>
    <w:rsid w:val="00830CAE"/>
    <w:rPr>
      <w:i/>
      <w:iCs/>
      <w:color w:val="404040" w:themeColor="text1" w:themeTint="BF"/>
    </w:rPr>
  </w:style>
  <w:style w:type="paragraph" w:styleId="ListParagraph">
    <w:name w:val="List Paragraph"/>
    <w:basedOn w:val="Normal"/>
    <w:uiPriority w:val="34"/>
    <w:qFormat/>
    <w:rsid w:val="00830CAE"/>
    <w:pPr>
      <w:ind w:left="720"/>
      <w:contextualSpacing/>
    </w:pPr>
  </w:style>
  <w:style w:type="character" w:styleId="IntenseEmphasis">
    <w:name w:val="Intense Emphasis"/>
    <w:basedOn w:val="DefaultParagraphFont"/>
    <w:uiPriority w:val="21"/>
    <w:qFormat/>
    <w:rsid w:val="00830CAE"/>
    <w:rPr>
      <w:i/>
      <w:iCs/>
      <w:color w:val="2F5496" w:themeColor="accent1" w:themeShade="BF"/>
    </w:rPr>
  </w:style>
  <w:style w:type="paragraph" w:styleId="IntenseQuote">
    <w:name w:val="Intense Quote"/>
    <w:basedOn w:val="Normal"/>
    <w:next w:val="Normal"/>
    <w:link w:val="IntenseQuoteChar"/>
    <w:uiPriority w:val="30"/>
    <w:qFormat/>
    <w:rsid w:val="0083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CAE"/>
    <w:rPr>
      <w:i/>
      <w:iCs/>
      <w:color w:val="2F5496" w:themeColor="accent1" w:themeShade="BF"/>
    </w:rPr>
  </w:style>
  <w:style w:type="character" w:styleId="IntenseReference">
    <w:name w:val="Intense Reference"/>
    <w:basedOn w:val="DefaultParagraphFont"/>
    <w:uiPriority w:val="32"/>
    <w:qFormat/>
    <w:rsid w:val="00830CAE"/>
    <w:rPr>
      <w:b/>
      <w:bCs/>
      <w:smallCaps/>
      <w:color w:val="2F5496" w:themeColor="accent1" w:themeShade="BF"/>
      <w:spacing w:val="5"/>
    </w:rPr>
  </w:style>
  <w:style w:type="character" w:styleId="Hyperlink">
    <w:name w:val="Hyperlink"/>
    <w:uiPriority w:val="99"/>
    <w:semiHidden/>
    <w:unhideWhenUsed/>
    <w:rsid w:val="00830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30850">
      <w:bodyDiv w:val="1"/>
      <w:marLeft w:val="0"/>
      <w:marRight w:val="0"/>
      <w:marTop w:val="0"/>
      <w:marBottom w:val="0"/>
      <w:divBdr>
        <w:top w:val="none" w:sz="0" w:space="0" w:color="auto"/>
        <w:left w:val="none" w:sz="0" w:space="0" w:color="auto"/>
        <w:bottom w:val="none" w:sz="0" w:space="0" w:color="auto"/>
        <w:right w:val="none" w:sz="0" w:space="0" w:color="auto"/>
      </w:divBdr>
    </w:div>
    <w:div w:id="7184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cinc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3506</Words>
  <Characters>19987</Characters>
  <Application>Microsoft Office Word</Application>
  <DocSecurity>0</DocSecurity>
  <Lines>166</Lines>
  <Paragraphs>46</Paragraphs>
  <ScaleCrop>false</ScaleCrop>
  <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Sekretarica načelnika</dc:creator>
  <cp:keywords/>
  <dc:description/>
  <cp:lastModifiedBy>Parking Pećinci</cp:lastModifiedBy>
  <cp:revision>14</cp:revision>
  <dcterms:created xsi:type="dcterms:W3CDTF">2025-06-24T05:56:00Z</dcterms:created>
  <dcterms:modified xsi:type="dcterms:W3CDTF">2025-11-19T07:49:00Z</dcterms:modified>
</cp:coreProperties>
</file>